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F6A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C4A982A">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ICS  </w:t>
            </w:r>
          </w:p>
        </w:tc>
        <w:tc>
          <w:tcPr>
            <w:tcW w:w="8855" w:type="dxa"/>
          </w:tcPr>
          <w:p w14:paraId="74BC46D7">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I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 xml:space="preserve"> 11.020</w:t>
            </w:r>
            <w:r>
              <w:rPr>
                <w:rFonts w:ascii="Times New Roman" w:hAnsi="Times New Roman" w:eastAsia="黑体"/>
                <w:sz w:val="21"/>
                <w:szCs w:val="21"/>
              </w:rPr>
              <w:fldChar w:fldCharType="end"/>
            </w:r>
            <w:bookmarkEnd w:id="0"/>
          </w:p>
        </w:tc>
      </w:tr>
      <w:tr w14:paraId="7CE0C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6B410E">
            <w:pPr>
              <w:pStyle w:val="18"/>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5AAB68D0">
            <w:pPr>
              <w:pStyle w:val="18"/>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fldChar w:fldCharType="begin">
                <w:ffData>
                  <w:name w:val="CSDN"/>
                  <w:enabled/>
                  <w:calcOnExit w:val="0"/>
                  <w:textInput>
                    <w:default w:val="点击此处添加CCS号"/>
                  </w:textInput>
                </w:ffData>
              </w:fldChar>
            </w:r>
            <w:bookmarkStart w:id="1" w:name="CSDN"/>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 xml:space="preserve"> C 05</w:t>
            </w:r>
            <w:r>
              <w:rPr>
                <w:rFonts w:ascii="Times New Roman" w:hAnsi="Times New Roman"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6B3A97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7099C07">
            <w:pPr>
              <w:pStyle w:val="49"/>
              <w:framePr w:w="0" w:hRule="auto" w:wrap="auto" w:vAnchor="margin" w:hAnchor="text" w:xAlign="left" w:yAlign="inline"/>
              <w:rPr>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5578E371">
      <w:pPr>
        <w:pStyle w:val="50"/>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rPr>
        <w:fldChar w:fldCharType="begin">
          <w:ffData>
            <w:name w:val="c2"/>
            <w:enabled/>
            <w:calcOnExit w:val="0"/>
            <w:textInput/>
          </w:ffData>
        </w:fldChar>
      </w:r>
      <w:bookmarkStart w:id="4" w:name="c2"/>
      <w:r>
        <w:rPr>
          <w:rFonts w:ascii="Times New Roman" w:eastAsia="黑体"/>
          <w:b w:val="0"/>
          <w:w w:val="100"/>
          <w:sz w:val="48"/>
        </w:rPr>
        <w:instrText xml:space="preserve"> FORMTEXT </w:instrText>
      </w:r>
      <w:r>
        <w:rPr>
          <w:rFonts w:ascii="Times New Roman" w:eastAsia="黑体"/>
          <w:b w:val="0"/>
          <w:w w:val="100"/>
          <w:sz w:val="48"/>
        </w:rPr>
        <w:fldChar w:fldCharType="separate"/>
      </w:r>
      <w:r>
        <w:rPr>
          <w:rFonts w:ascii="Times New Roman" w:eastAsia="黑体"/>
          <w:b w:val="0"/>
          <w:w w:val="100"/>
          <w:sz w:val="48"/>
        </w:rPr>
        <w:t>江苏省     </w:t>
      </w:r>
      <w:r>
        <w:rPr>
          <w:rFonts w:ascii="Times New Roman" w:eastAsia="黑体"/>
          <w:b w:val="0"/>
          <w:w w:val="100"/>
          <w:sz w:val="48"/>
        </w:rPr>
        <w:fldChar w:fldCharType="end"/>
      </w:r>
      <w:bookmarkEnd w:id="4"/>
      <w:r>
        <w:rPr>
          <w:rFonts w:ascii="Times New Roman" w:eastAsia="黑体"/>
          <w:b w:val="0"/>
          <w:bCs w:val="0"/>
          <w:w w:val="100"/>
          <w:sz w:val="48"/>
          <w:szCs w:val="48"/>
        </w:rPr>
        <w:t>地方标准</w:t>
      </w:r>
    </w:p>
    <w:bookmarkEnd w:id="2"/>
    <w:p w14:paraId="19BA3C25">
      <w:pPr>
        <w:pStyle w:val="195"/>
        <w:framePr/>
        <w:rPr>
          <w:rFonts w:ascii="Times New Roman"/>
          <w:lang w:val="fr-FR"/>
        </w:rPr>
      </w:pPr>
      <w:r>
        <w:rPr>
          <w:rFonts w:ascii="Times New Roman"/>
          <w:lang w:val="fr-FR"/>
        </w:rPr>
        <w:t>DB</w:t>
      </w:r>
      <w:r>
        <w:rPr>
          <w:rFonts w:ascii="Times New Roman"/>
          <w:sz w:val="15"/>
          <w:szCs w:val="15"/>
          <w:lang w:val="fr-FR"/>
        </w:rPr>
        <w:t xml:space="preserve"> </w:t>
      </w:r>
      <w:r>
        <w:rPr>
          <w:rFonts w:ascii="Times New Roman"/>
        </w:rPr>
        <w:fldChar w:fldCharType="begin">
          <w:ffData>
            <w:name w:val="文字1"/>
            <w:enabled/>
            <w:calcOnExit w:val="0"/>
            <w:textInput>
              <w:default w:val="XX/T"/>
            </w:textInput>
          </w:ffData>
        </w:fldChar>
      </w:r>
      <w:bookmarkStart w:id="5" w:name="文字1"/>
      <w:r>
        <w:rPr>
          <w:rFonts w:ascii="Times New Roman"/>
          <w:lang w:val="fr-FR"/>
        </w:rPr>
        <w:instrText xml:space="preserve"> FORMTEXT </w:instrText>
      </w:r>
      <w:r>
        <w:rPr>
          <w:rFonts w:ascii="Times New Roman"/>
        </w:rPr>
        <w:fldChar w:fldCharType="separate"/>
      </w:r>
      <w:r>
        <w:rPr>
          <w:rFonts w:ascii="Times New Roman"/>
        </w:rPr>
        <w:t>32</w:t>
      </w:r>
      <w:r>
        <w:rPr>
          <w:rFonts w:ascii="Times New Roman"/>
          <w:lang w:val="fr-FR"/>
        </w:rPr>
        <w:t>/T</w:t>
      </w:r>
      <w:r>
        <w:rPr>
          <w:rFonts w:ascii="Times New Roman"/>
        </w:rPr>
        <w:fldChar w:fldCharType="end"/>
      </w:r>
      <w:bookmarkEnd w:id="5"/>
      <w:r>
        <w:rPr>
          <w:rFonts w:ascii="Times New Roman"/>
          <w:lang w:val="fr-FR"/>
        </w:rPr>
        <w:t xml:space="preserve"> </w:t>
      </w:r>
      <w:r>
        <w:rPr>
          <w:rFonts w:ascii="Times New Roman"/>
        </w:rPr>
        <w:fldChar w:fldCharType="begin">
          <w:ffData>
            <w:name w:val="NSTD_CODE_F"/>
            <w:enabled/>
            <w:calcOnExit w:val="0"/>
            <w:textInput>
              <w:default w:val="XXXX"/>
            </w:textInput>
          </w:ffData>
        </w:fldChar>
      </w:r>
      <w:bookmarkStart w:id="6" w:name="NSTD_CODE_F"/>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6"/>
      <w:r>
        <w:rPr>
          <w:rFonts w:ascii="Times New Roman"/>
          <w:lang w:val="fr-FR"/>
        </w:rPr>
        <w:t>—</w:t>
      </w:r>
      <w:r>
        <w:rPr>
          <w:rFonts w:ascii="Times New Roman"/>
        </w:rPr>
        <w:fldChar w:fldCharType="begin">
          <w:ffData>
            <w:name w:val="NSTD_CODE_B"/>
            <w:enabled/>
            <w:calcOnExit w:val="0"/>
            <w:textInput>
              <w:default w:val="XXXX"/>
            </w:textInput>
          </w:ffData>
        </w:fldChar>
      </w:r>
      <w:bookmarkStart w:id="7" w:name="NSTD_CODE_B"/>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7"/>
    </w:p>
    <w:p w14:paraId="18A225F8">
      <w:pPr>
        <w:pStyle w:val="196"/>
        <w:framePr/>
        <w:rPr>
          <w:rFonts w:ascii="Times New Roman"/>
        </w:rPr>
      </w:pPr>
      <w:r>
        <w:rPr>
          <w:rFonts w:ascii="Times New Roman"/>
        </w:rPr>
        <w:fldChar w:fldCharType="begin">
          <w:ffData>
            <w:name w:val="OSTD_CODE"/>
            <w:enabled/>
            <w:calcOnExit w:val="0"/>
            <w:textInput/>
          </w:ffData>
        </w:fldChar>
      </w:r>
      <w:bookmarkStart w:id="8" w:name="OSTD_CODE"/>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8"/>
    </w:p>
    <w:p w14:paraId="1F975C5C">
      <w:pPr>
        <w:spacing w:line="240" w:lineRule="auto"/>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CBEF0EB">
      <w:pPr>
        <w:pStyle w:val="50"/>
        <w:framePr w:w="9639" w:h="6976" w:hRule="exact" w:hSpace="0" w:vSpace="0" w:wrap="around" w:hAnchor="page" w:y="6408"/>
        <w:jc w:val="center"/>
        <w:rPr>
          <w:rFonts w:ascii="Times New Roman" w:eastAsia="黑体"/>
          <w:b w:val="0"/>
          <w:bCs w:val="0"/>
          <w:w w:val="100"/>
        </w:rPr>
      </w:pPr>
    </w:p>
    <w:p w14:paraId="142D2364">
      <w:pPr>
        <w:pStyle w:val="197"/>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点击此处添加标准名称"/>
            </w:textInput>
          </w:ffData>
        </w:fldChar>
      </w:r>
      <w:bookmarkStart w:id="9" w:name="CSTD_NAME"/>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预防接种技术管理规范</w:t>
      </w:r>
    </w:p>
    <w:p w14:paraId="22B379C3">
      <w:pPr>
        <w:pStyle w:val="197"/>
        <w:framePr w:h="6974" w:hRule="exact" w:wrap="around" w:x="1419" w:anchorLock="1"/>
        <w:rPr>
          <w:rFonts w:ascii="Times New Roman" w:hAnsi="Times New Roman"/>
        </w:rPr>
      </w:pPr>
      <w:r>
        <w:rPr>
          <w:rFonts w:ascii="Times New Roman" w:hAnsi="Times New Roman"/>
        </w:rPr>
        <w:t>第2部分：疫苗接种方法</w:t>
      </w:r>
      <w:r>
        <w:rPr>
          <w:rFonts w:ascii="Times New Roman" w:hAnsi="Times New Roman"/>
        </w:rPr>
        <w:fldChar w:fldCharType="end"/>
      </w:r>
      <w:bookmarkEnd w:id="9"/>
    </w:p>
    <w:p w14:paraId="5A52FDC9">
      <w:pPr>
        <w:framePr w:w="9639" w:h="6974" w:hRule="exact" w:wrap="around" w:vAnchor="page" w:hAnchor="page" w:x="1419" w:y="6408" w:anchorLock="1"/>
        <w:ind w:left="-1418"/>
        <w:rPr>
          <w:rFonts w:ascii="Times New Roman" w:hAnsi="Times New Roman"/>
        </w:rPr>
      </w:pPr>
    </w:p>
    <w:p w14:paraId="3CDF00F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Principles of Technical Regulation and Management of Vaccination</w:t>
      </w:r>
    </w:p>
    <w:p w14:paraId="523470EC">
      <w:pPr>
        <w:pStyle w:val="125"/>
        <w:framePr w:w="9639" w:h="6974" w:hRule="exact" w:wrap="around" w:vAnchor="page" w:hAnchor="page" w:x="1419" w:y="6408" w:anchorLock="1"/>
        <w:textAlignment w:val="bottom"/>
        <w:rPr>
          <w:rFonts w:eastAsia="黑体"/>
          <w:szCs w:val="28"/>
        </w:rPr>
      </w:pPr>
      <w:r>
        <w:rPr>
          <w:rFonts w:eastAsia="黑体"/>
          <w:szCs w:val="28"/>
        </w:rPr>
        <w:t>Part 2 Administration Methods</w:t>
      </w:r>
      <w:r>
        <w:rPr>
          <w:rFonts w:eastAsia="黑体"/>
          <w:szCs w:val="28"/>
        </w:rPr>
        <w:fldChar w:fldCharType="end"/>
      </w:r>
      <w:bookmarkEnd w:id="10"/>
    </w:p>
    <w:p w14:paraId="40DCF73C">
      <w:pPr>
        <w:framePr w:w="9639" w:h="6974" w:hRule="exact" w:wrap="around" w:vAnchor="page" w:hAnchor="page" w:x="1419" w:y="6408" w:anchorLock="1"/>
        <w:spacing w:line="760" w:lineRule="exact"/>
        <w:ind w:left="-1418"/>
        <w:rPr>
          <w:rFonts w:ascii="Times New Roman" w:hAnsi="Times New Roman"/>
        </w:rPr>
      </w:pPr>
    </w:p>
    <w:p w14:paraId="7805890B">
      <w:pPr>
        <w:pStyle w:val="125"/>
        <w:framePr w:w="9639" w:h="6974" w:hRule="exact" w:wrap="around" w:vAnchor="page" w:hAnchor="page" w:x="1419" w:y="6408" w:anchorLock="1"/>
        <w:textAlignment w:val="bottom"/>
        <w:rPr>
          <w:rFonts w:eastAsia="黑体"/>
          <w:szCs w:val="28"/>
        </w:rPr>
      </w:pPr>
    </w:p>
    <w:p w14:paraId="07675972">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2DF1400">
      <w:pPr>
        <w:pStyle w:val="125"/>
        <w:framePr w:w="9639" w:h="6974" w:hRule="exact" w:wrap="around" w:vAnchor="page" w:hAnchor="page" w:x="1419" w:y="6408" w:anchorLock="1"/>
        <w:spacing w:before="180" w:line="240" w:lineRule="atLeast"/>
        <w:textAlignment w:val="bottom"/>
        <w:rPr>
          <w:sz w:val="21"/>
          <w:szCs w:val="28"/>
        </w:rPr>
      </w:pPr>
    </w:p>
    <w:p w14:paraId="630F1692">
      <w:pPr>
        <w:pStyle w:val="125"/>
        <w:framePr w:w="9639" w:h="6974" w:hRule="exact" w:wrap="around" w:vAnchor="page" w:hAnchor="page" w:x="1419" w:y="6408" w:anchorLock="1"/>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FORMDROPDOWN</w:instrText>
      </w:r>
      <w:r>
        <w:rPr>
          <w:b/>
          <w:sz w:val="21"/>
          <w:szCs w:val="28"/>
        </w:rPr>
        <w:fldChar w:fldCharType="separate"/>
      </w:r>
      <w:r>
        <w:rPr>
          <w:b/>
          <w:sz w:val="21"/>
          <w:szCs w:val="28"/>
        </w:rPr>
        <w:fldChar w:fldCharType="end"/>
      </w:r>
      <w:bookmarkEnd w:id="12"/>
    </w:p>
    <w:p w14:paraId="54E1BF52">
      <w:pPr>
        <w:pStyle w:val="193"/>
        <w:framePr w:wrap="around" w:y="14176"/>
      </w:pPr>
      <w:r>
        <w:fldChar w:fldCharType="begin">
          <w:ffData>
            <w:name w:val="PLSH_DATE_Y"/>
            <w:enabled/>
            <w:calcOnExit w:val="0"/>
            <w:textInput>
              <w:default w:val="XXXX"/>
              <w:maxLength w:val="4"/>
            </w:textInput>
          </w:ffData>
        </w:fldChar>
      </w:r>
      <w:bookmarkStart w:id="13" w:name="PLSH_DATE_Y"/>
      <w:r>
        <w:instrText xml:space="preserve"> FORMTEXT </w:instrText>
      </w:r>
      <w:r>
        <w:fldChar w:fldCharType="separate"/>
      </w:r>
      <w:r>
        <w:t>2024</w:t>
      </w:r>
      <w:r>
        <w:fldChar w:fldCharType="end"/>
      </w:r>
      <w:bookmarkEnd w:id="13"/>
      <w:r>
        <w:t xml:space="preserve"> - </w:t>
      </w:r>
      <w:r>
        <w:fldChar w:fldCharType="begin">
          <w:ffData>
            <w:name w:val="PLSH_DATE_M"/>
            <w:enabled/>
            <w:calcOnExit w:val="0"/>
            <w:textInput>
              <w:default w:val="XX"/>
              <w:maxLength w:val="2"/>
            </w:textInput>
          </w:ffData>
        </w:fldChar>
      </w:r>
      <w:bookmarkStart w:id="14" w:name="PLSH_DATE_M"/>
      <w:r>
        <w:instrText xml:space="preserve"> FORMTEXT </w:instrText>
      </w:r>
      <w:r>
        <w:fldChar w:fldCharType="separate"/>
      </w:r>
      <w:r>
        <w:t>XX</w:t>
      </w:r>
      <w:r>
        <w:fldChar w:fldCharType="end"/>
      </w:r>
      <w:bookmarkEnd w:id="14"/>
      <w:r>
        <w:t xml:space="preserve"> - </w:t>
      </w:r>
      <w:r>
        <w:fldChar w:fldCharType="begin">
          <w:ffData>
            <w:name w:val="PLSH_DATE_D"/>
            <w:enabled/>
            <w:calcOnExit w:val="0"/>
            <w:textInput>
              <w:default w:val="XX"/>
              <w:maxLength w:val="2"/>
            </w:textInput>
          </w:ffData>
        </w:fldChar>
      </w:r>
      <w:bookmarkStart w:id="15" w:name="PLSH_DATE_D"/>
      <w:r>
        <w:instrText xml:space="preserve"> FORMTEXT </w:instrText>
      </w:r>
      <w:r>
        <w:fldChar w:fldCharType="separate"/>
      </w:r>
      <w:r>
        <w:t>XX</w:t>
      </w:r>
      <w:r>
        <w:fldChar w:fldCharType="end"/>
      </w:r>
      <w:bookmarkEnd w:id="15"/>
      <w:r>
        <w:t>发布</w:t>
      </w:r>
    </w:p>
    <w:p w14:paraId="73759649">
      <w:pPr>
        <w:pStyle w:val="194"/>
        <w:framePr w:wrap="around" w:y="14176"/>
      </w:pPr>
      <w:r>
        <w:fldChar w:fldCharType="begin">
          <w:ffData>
            <w:name w:val="CROT_DATE_Y"/>
            <w:enabled/>
            <w:calcOnExit w:val="0"/>
            <w:textInput>
              <w:default w:val="XXXX"/>
              <w:maxLength w:val="4"/>
            </w:textInput>
          </w:ffData>
        </w:fldChar>
      </w:r>
      <w:bookmarkStart w:id="16" w:name="CROT_DATE_Y"/>
      <w:r>
        <w:instrText xml:space="preserve"> FORMTEXT </w:instrText>
      </w:r>
      <w:r>
        <w:fldChar w:fldCharType="separate"/>
      </w:r>
      <w:r>
        <w:t>2024</w:t>
      </w:r>
      <w:r>
        <w:fldChar w:fldCharType="end"/>
      </w:r>
      <w:bookmarkEnd w:id="16"/>
      <w:r>
        <w:t xml:space="preserve"> - </w:t>
      </w:r>
      <w:r>
        <w:fldChar w:fldCharType="begin">
          <w:ffData>
            <w:name w:val="CROT_DATE_M"/>
            <w:enabled/>
            <w:calcOnExit w:val="0"/>
            <w:textInput>
              <w:default w:val="XX"/>
              <w:maxLength w:val="2"/>
            </w:textInput>
          </w:ffData>
        </w:fldChar>
      </w:r>
      <w:bookmarkStart w:id="17" w:name="CROT_DATE_M"/>
      <w:r>
        <w:instrText xml:space="preserve"> FORMTEXT </w:instrText>
      </w:r>
      <w:r>
        <w:fldChar w:fldCharType="separate"/>
      </w:r>
      <w:r>
        <w:t>XX</w:t>
      </w:r>
      <w:r>
        <w:fldChar w:fldCharType="end"/>
      </w:r>
      <w:bookmarkEnd w:id="17"/>
      <w:r>
        <w:t xml:space="preserve"> - </w:t>
      </w:r>
      <w:r>
        <w:fldChar w:fldCharType="begin">
          <w:ffData>
            <w:name w:val="CROT_DATE_D"/>
            <w:enabled/>
            <w:calcOnExit w:val="0"/>
            <w:textInput>
              <w:default w:val="XX"/>
              <w:maxLength w:val="2"/>
            </w:textInput>
          </w:ffData>
        </w:fldChar>
      </w:r>
      <w:bookmarkStart w:id="18" w:name="CROT_DATE_D"/>
      <w:r>
        <w:instrText xml:space="preserve"> FORMTEXT </w:instrText>
      </w:r>
      <w:r>
        <w:fldChar w:fldCharType="separate"/>
      </w:r>
      <w:r>
        <w:t>XX</w:t>
      </w:r>
      <w:r>
        <w:fldChar w:fldCharType="end"/>
      </w:r>
      <w:bookmarkEnd w:id="18"/>
      <w:r>
        <w:t>实施</w:t>
      </w:r>
    </w:p>
    <w:p w14:paraId="01136523">
      <w:pPr>
        <w:pStyle w:val="151"/>
        <w:framePr w:h="584" w:hRule="exact" w:hSpace="181" w:vSpace="181" w:wrap="around" w:y="15027"/>
        <w:rPr>
          <w:rFonts w:ascii="Times New Roman"/>
        </w:rPr>
      </w:pPr>
      <w:r>
        <w:rPr>
          <w:rFonts w:ascii="Times New Roman"/>
          <w:w w:val="100"/>
          <w:sz w:val="28"/>
        </w:rPr>
        <w:fldChar w:fldCharType="begin">
          <w:ffData>
            <w:name w:val="fm"/>
            <w:enabled/>
            <w:calcOnExit w:val="0"/>
            <w:textInput/>
          </w:ffData>
        </w:fldChar>
      </w:r>
      <w:bookmarkStart w:id="19" w:name="fm"/>
      <w:r>
        <w:rPr>
          <w:rFonts w:ascii="Times New Roman"/>
          <w:w w:val="100"/>
          <w:sz w:val="28"/>
        </w:rPr>
        <w:instrText xml:space="preserve"> FORMTEXT </w:instrText>
      </w:r>
      <w:r>
        <w:rPr>
          <w:rFonts w:ascii="Times New Roman"/>
          <w:w w:val="100"/>
          <w:sz w:val="28"/>
        </w:rPr>
        <w:fldChar w:fldCharType="separate"/>
      </w:r>
      <w:r>
        <w:rPr>
          <w:rFonts w:ascii="Times New Roman"/>
          <w:w w:val="100"/>
          <w:sz w:val="28"/>
        </w:rPr>
        <w:t>江苏省市场监督管理局</w:t>
      </w:r>
      <w:r>
        <w:rPr>
          <w:rFonts w:ascii="Times New Roman"/>
          <w:w w:val="100"/>
          <w:sz w:val="28"/>
        </w:rPr>
        <w:fldChar w:fldCharType="end"/>
      </w:r>
      <w:bookmarkEnd w:id="19"/>
      <w:r>
        <w:rPr>
          <w:rFonts w:ascii="Times New Roman"/>
          <w:w w:val="100"/>
          <w:sz w:val="28"/>
        </w:rPr>
        <w:t>  </w:t>
      </w:r>
      <w:r>
        <w:rPr>
          <w:rStyle w:val="229"/>
          <w:rFonts w:ascii="Times New Roman"/>
          <w:position w:val="0"/>
        </w:rPr>
        <w:t>发</w:t>
      </w:r>
      <w:r>
        <w:rPr>
          <w:rStyle w:val="229"/>
          <w:rFonts w:ascii="Times New Roman"/>
          <w:spacing w:val="0"/>
          <w:position w:val="0"/>
        </w:rPr>
        <w:t>布</w:t>
      </w:r>
    </w:p>
    <w:p w14:paraId="5FFAFEEF">
      <w:pPr>
        <w:rPr>
          <w:rFonts w:ascii="Times New Roman" w:hAnsi="Times New Roman"/>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CA9FEFF">
      <w:pPr>
        <w:pStyle w:val="91"/>
        <w:spacing w:after="468"/>
        <w:rPr>
          <w:rFonts w:ascii="Times New Roman" w:hAnsi="Times New Roman"/>
        </w:rPr>
      </w:pPr>
      <w:bookmarkStart w:id="20" w:name="BookMark1"/>
      <w:r>
        <w:rPr>
          <w:rFonts w:ascii="Times New Roman" w:hAnsi="Times New Roman"/>
          <w:spacing w:val="320"/>
        </w:rPr>
        <w:t>目</w:t>
      </w:r>
      <w:r>
        <w:rPr>
          <w:rFonts w:ascii="Times New Roman" w:hAnsi="Times New Roman"/>
        </w:rPr>
        <w:t>次</w:t>
      </w:r>
    </w:p>
    <w:p w14:paraId="40A8489D">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TOC \o "1-1" \h \t "标准文件_一级条标题,2,标准文件_附录一级条标题,2," </w:instrText>
      </w:r>
      <w:r>
        <w:rPr>
          <w:rFonts w:ascii="Times New Roman" w:hAnsi="Times New Roman"/>
        </w:rPr>
        <w:fldChar w:fldCharType="separate"/>
      </w:r>
      <w:r>
        <w:fldChar w:fldCharType="begin"/>
      </w:r>
      <w:r>
        <w:instrText xml:space="preserve"> HYPERLINK \l "_Toc11042" </w:instrText>
      </w:r>
      <w:r>
        <w:fldChar w:fldCharType="separate"/>
      </w:r>
      <w:r>
        <w:rPr>
          <w:rFonts w:ascii="Times New Roman" w:hAnsi="Times New Roman"/>
          <w:spacing w:val="320"/>
        </w:rPr>
        <w:t>前</w:t>
      </w:r>
      <w:r>
        <w:rPr>
          <w:rFonts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_Toc11042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14:paraId="12F68FEC">
      <w:pPr>
        <w:pStyle w:val="19"/>
        <w:tabs>
          <w:tab w:val="right" w:leader="dot" w:pos="9354"/>
        </w:tabs>
        <w:rPr>
          <w:rFonts w:ascii="Times New Roman" w:hAnsi="Times New Roman"/>
        </w:rPr>
      </w:pPr>
      <w:r>
        <w:fldChar w:fldCharType="begin"/>
      </w:r>
      <w:r>
        <w:instrText xml:space="preserve"> HYPERLINK \l "_Toc14800" </w:instrText>
      </w:r>
      <w:r>
        <w:fldChar w:fldCharType="separate"/>
      </w:r>
      <w:r>
        <w:rPr>
          <w:rFonts w:ascii="Times New Roman" w:hAnsi="Times New Roman"/>
          <w:spacing w:val="320"/>
        </w:rPr>
        <w:t>引</w:t>
      </w:r>
      <w:r>
        <w:rPr>
          <w:rFonts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_Toc14800 \h </w:instrText>
      </w:r>
      <w:r>
        <w:rPr>
          <w:rFonts w:ascii="Times New Roman" w:hAnsi="Times New Roman"/>
        </w:rPr>
        <w:fldChar w:fldCharType="separate"/>
      </w:r>
      <w:r>
        <w:rPr>
          <w:rFonts w:ascii="Times New Roman" w:hAnsi="Times New Roman"/>
        </w:rPr>
        <w:t>III</w:t>
      </w:r>
      <w:r>
        <w:rPr>
          <w:rFonts w:ascii="Times New Roman" w:hAnsi="Times New Roman"/>
        </w:rPr>
        <w:fldChar w:fldCharType="end"/>
      </w:r>
      <w:r>
        <w:rPr>
          <w:rFonts w:ascii="Times New Roman" w:hAnsi="Times New Roman"/>
        </w:rPr>
        <w:fldChar w:fldCharType="end"/>
      </w:r>
    </w:p>
    <w:p w14:paraId="17FBFEE5">
      <w:pPr>
        <w:pStyle w:val="19"/>
        <w:tabs>
          <w:tab w:val="right" w:leader="dot" w:pos="9354"/>
        </w:tabs>
        <w:rPr>
          <w:rFonts w:ascii="Times New Roman" w:hAnsi="Times New Roman"/>
        </w:rPr>
      </w:pPr>
      <w:r>
        <w:fldChar w:fldCharType="begin"/>
      </w:r>
      <w:r>
        <w:instrText xml:space="preserve"> HYPERLINK \l "_Toc14083" </w:instrText>
      </w:r>
      <w:r>
        <w:fldChar w:fldCharType="separate"/>
      </w:r>
      <w:r>
        <w:rPr>
          <w:rFonts w:ascii="Times New Roman" w:hAnsi="Times New Roman" w:eastAsia="黑体"/>
        </w:rPr>
        <w:t xml:space="preserve">1 </w:t>
      </w:r>
      <w:r>
        <w:rPr>
          <w:rFonts w:ascii="Times New Roman" w:hAns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_Toc14083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396E4679">
      <w:pPr>
        <w:pStyle w:val="19"/>
        <w:tabs>
          <w:tab w:val="right" w:leader="dot" w:pos="9354"/>
        </w:tabs>
        <w:rPr>
          <w:rFonts w:ascii="Times New Roman" w:hAnsi="Times New Roman"/>
        </w:rPr>
      </w:pPr>
      <w:r>
        <w:fldChar w:fldCharType="begin"/>
      </w:r>
      <w:r>
        <w:instrText xml:space="preserve"> HYPERLINK \l "_Toc4521" </w:instrText>
      </w:r>
      <w:r>
        <w:fldChar w:fldCharType="separate"/>
      </w:r>
      <w:r>
        <w:rPr>
          <w:rFonts w:ascii="Times New Roman" w:hAnsi="Times New Roman" w:eastAsia="黑体"/>
        </w:rPr>
        <w:t xml:space="preserve">2 </w:t>
      </w:r>
      <w:r>
        <w:rPr>
          <w:rFonts w:ascii="Times New Roman" w:hAns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_Toc4521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56925B09">
      <w:pPr>
        <w:pStyle w:val="19"/>
        <w:tabs>
          <w:tab w:val="right" w:leader="dot" w:pos="9354"/>
        </w:tabs>
        <w:rPr>
          <w:rFonts w:ascii="Times New Roman" w:hAnsi="Times New Roman"/>
        </w:rPr>
      </w:pPr>
      <w:r>
        <w:fldChar w:fldCharType="begin"/>
      </w:r>
      <w:r>
        <w:instrText xml:space="preserve"> HYPERLINK \l "_Toc24870" </w:instrText>
      </w:r>
      <w:r>
        <w:fldChar w:fldCharType="separate"/>
      </w:r>
      <w:r>
        <w:rPr>
          <w:rFonts w:ascii="Times New Roman" w:hAnsi="Times New Roman" w:eastAsia="黑体"/>
        </w:rPr>
        <w:t xml:space="preserve">3 </w:t>
      </w:r>
      <w:r>
        <w:rPr>
          <w:rFonts w:ascii="Times New Roman" w:hAns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_Toc24870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47BB4242">
      <w:pPr>
        <w:pStyle w:val="19"/>
        <w:tabs>
          <w:tab w:val="right" w:leader="dot" w:pos="9354"/>
        </w:tabs>
        <w:rPr>
          <w:rFonts w:ascii="Times New Roman" w:hAnsi="Times New Roman"/>
        </w:rPr>
      </w:pPr>
      <w:r>
        <w:fldChar w:fldCharType="begin"/>
      </w:r>
      <w:r>
        <w:instrText xml:space="preserve"> HYPERLINK \l "_Toc4558" </w:instrText>
      </w:r>
      <w:r>
        <w:fldChar w:fldCharType="separate"/>
      </w:r>
      <w:r>
        <w:rPr>
          <w:rFonts w:ascii="Times New Roman" w:hAnsi="Times New Roman" w:eastAsia="黑体"/>
        </w:rPr>
        <w:t xml:space="preserve">4 </w:t>
      </w:r>
      <w:r>
        <w:rPr>
          <w:rFonts w:ascii="Times New Roman" w:hAnsi="Times New Roman"/>
        </w:rPr>
        <w:t>疫苗吸取和使用基本要求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_Toc4558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75E9BD95">
      <w:pPr>
        <w:pStyle w:val="19"/>
        <w:tabs>
          <w:tab w:val="right" w:leader="dot" w:pos="9354"/>
        </w:tabs>
        <w:rPr>
          <w:rFonts w:ascii="Times New Roman" w:hAnsi="Times New Roman"/>
        </w:rPr>
      </w:pPr>
      <w:r>
        <w:fldChar w:fldCharType="begin"/>
      </w:r>
      <w:r>
        <w:instrText xml:space="preserve"> HYPERLINK \l "_Toc30917" </w:instrText>
      </w:r>
      <w:r>
        <w:fldChar w:fldCharType="separate"/>
      </w:r>
      <w:r>
        <w:rPr>
          <w:rFonts w:ascii="Times New Roman" w:hAnsi="Times New Roman" w:eastAsia="黑体"/>
        </w:rPr>
        <w:t xml:space="preserve">5 </w:t>
      </w:r>
      <w:r>
        <w:rPr>
          <w:rFonts w:ascii="Times New Roman" w:hAnsi="Times New Roman"/>
        </w:rPr>
        <w:t>疫苗接种操作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_Toc30917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231AF4A4">
      <w:pPr>
        <w:pStyle w:val="19"/>
        <w:tabs>
          <w:tab w:val="right" w:leader="dot" w:pos="9354"/>
        </w:tabs>
        <w:rPr>
          <w:rFonts w:ascii="Times New Roman" w:hAnsi="Times New Roman"/>
        </w:rPr>
      </w:pPr>
      <w:r>
        <w:fldChar w:fldCharType="begin"/>
      </w:r>
      <w:r>
        <w:instrText xml:space="preserve"> HYPERLINK \l "_Toc11121" </w:instrText>
      </w:r>
      <w:r>
        <w:fldChar w:fldCharType="separate"/>
      </w:r>
      <w:r>
        <w:rPr>
          <w:rFonts w:ascii="Times New Roman" w:hAnsi="Times New Roman"/>
          <w:spacing w:val="105"/>
        </w:rPr>
        <w:t>参考文</w:t>
      </w:r>
      <w:r>
        <w:rPr>
          <w:rFonts w:ascii="Times New Roman" w:hAnsi="Times New Roman"/>
        </w:rPr>
        <w:t>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_Toc11121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6FCB399B">
      <w:pPr>
        <w:pStyle w:val="91"/>
        <w:spacing w:after="468"/>
        <w:rPr>
          <w:rFonts w:ascii="Times New Roman" w:hAnsi="Times New Roma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20"/>
    <w:p w14:paraId="06931A2B">
      <w:pPr>
        <w:pStyle w:val="89"/>
        <w:spacing w:before="900" w:after="468"/>
        <w:rPr>
          <w:rFonts w:ascii="Times New Roman"/>
        </w:rPr>
      </w:pPr>
      <w:bookmarkStart w:id="21" w:name="_Toc11042"/>
      <w:bookmarkStart w:id="22" w:name="BookMark2"/>
      <w:r>
        <w:rPr>
          <w:rFonts w:ascii="Times New Roman"/>
          <w:spacing w:val="320"/>
        </w:rPr>
        <w:t>前</w:t>
      </w:r>
      <w:r>
        <w:rPr>
          <w:rFonts w:ascii="Times New Roman"/>
        </w:rPr>
        <w:t>言</w:t>
      </w:r>
      <w:bookmarkEnd w:id="21"/>
    </w:p>
    <w:p w14:paraId="545FA8A1">
      <w:pPr>
        <w:pStyle w:val="56"/>
        <w:ind w:firstLine="420"/>
        <w:rPr>
          <w:rFonts w:ascii="Times New Roman"/>
        </w:rPr>
      </w:pPr>
      <w:r>
        <w:rPr>
          <w:rFonts w:ascii="Times New Roman"/>
        </w:rPr>
        <w:t>本文件按照GB/T 1.1—2020《标准化工作导则  第1部分：标准化文件的结构和起草规则》的规定起草。</w:t>
      </w:r>
    </w:p>
    <w:p w14:paraId="74D50D7D">
      <w:pPr>
        <w:pStyle w:val="56"/>
        <w:ind w:firstLine="420"/>
        <w:rPr>
          <w:rFonts w:ascii="Times New Roman"/>
        </w:rPr>
      </w:pPr>
      <w:r>
        <w:rPr>
          <w:rFonts w:ascii="Times New Roman"/>
        </w:rPr>
        <w:t>本文件分为以下部分：</w:t>
      </w:r>
    </w:p>
    <w:p w14:paraId="2C736EEB">
      <w:pPr>
        <w:pStyle w:val="56"/>
        <w:ind w:firstLine="420"/>
        <w:rPr>
          <w:rFonts w:ascii="Times New Roman"/>
        </w:rPr>
      </w:pPr>
      <w:r>
        <w:rPr>
          <w:rFonts w:ascii="Times New Roman"/>
        </w:rPr>
        <w:t>——第1部分：预防接种门诊建设；</w:t>
      </w:r>
    </w:p>
    <w:p w14:paraId="6373069C">
      <w:pPr>
        <w:pStyle w:val="56"/>
        <w:ind w:firstLine="420"/>
        <w:rPr>
          <w:rFonts w:ascii="Times New Roman"/>
        </w:rPr>
      </w:pPr>
      <w:r>
        <w:rPr>
          <w:rFonts w:ascii="Times New Roman"/>
        </w:rPr>
        <w:t>——第2部分：疫苗接种方法。</w:t>
      </w:r>
    </w:p>
    <w:p w14:paraId="4ED17553">
      <w:pPr>
        <w:pStyle w:val="56"/>
        <w:ind w:firstLine="420"/>
        <w:rPr>
          <w:rFonts w:ascii="Times New Roman"/>
        </w:rPr>
      </w:pPr>
      <w:r>
        <w:rPr>
          <w:rFonts w:ascii="Times New Roman"/>
        </w:rPr>
        <w:t>本</w:t>
      </w:r>
      <w:r>
        <w:rPr>
          <w:rFonts w:hint="eastAsia" w:ascii="Times New Roman"/>
        </w:rPr>
        <w:t>文件</w:t>
      </w:r>
      <w:r>
        <w:rPr>
          <w:rFonts w:ascii="Times New Roman"/>
        </w:rPr>
        <w:t>为第2部分。</w:t>
      </w:r>
    </w:p>
    <w:p w14:paraId="548EC525">
      <w:pPr>
        <w:pStyle w:val="56"/>
        <w:ind w:firstLine="420"/>
        <w:rPr>
          <w:rFonts w:ascii="Times New Roman"/>
        </w:rPr>
      </w:pPr>
      <w:r>
        <w:rPr>
          <w:rFonts w:ascii="Times New Roman"/>
        </w:rPr>
        <w:t>请注意本文件的某些内容可能涉及专利。本文件的发布机构不承担识别专利的责任。</w:t>
      </w:r>
    </w:p>
    <w:p w14:paraId="75DD30D4">
      <w:pPr>
        <w:pStyle w:val="56"/>
        <w:ind w:firstLine="420"/>
        <w:rPr>
          <w:rFonts w:ascii="Times New Roman"/>
        </w:rPr>
      </w:pPr>
      <w:r>
        <w:rPr>
          <w:rFonts w:ascii="Times New Roman"/>
        </w:rPr>
        <w:t>本文件由江苏省卫生</w:t>
      </w:r>
      <w:r>
        <w:rPr>
          <w:rFonts w:hint="eastAsia" w:ascii="Times New Roman"/>
        </w:rPr>
        <w:t>健康</w:t>
      </w:r>
      <w:r>
        <w:rPr>
          <w:rFonts w:ascii="Times New Roman"/>
        </w:rPr>
        <w:t>标准化技术委员会</w:t>
      </w:r>
      <w:r>
        <w:rPr>
          <w:rFonts w:hint="eastAsia" w:ascii="Times New Roman"/>
          <w:lang w:val="en-US" w:eastAsia="zh-CN"/>
        </w:rPr>
        <w:t>提出并</w:t>
      </w:r>
      <w:bookmarkStart w:id="94" w:name="_GoBack"/>
      <w:bookmarkEnd w:id="94"/>
      <w:r>
        <w:rPr>
          <w:rFonts w:ascii="Times New Roman"/>
        </w:rPr>
        <w:t>归口。</w:t>
      </w:r>
    </w:p>
    <w:p w14:paraId="41A732BF">
      <w:pPr>
        <w:pStyle w:val="56"/>
        <w:ind w:firstLine="420"/>
        <w:rPr>
          <w:rFonts w:ascii="Times New Roman"/>
        </w:rPr>
      </w:pPr>
      <w:r>
        <w:rPr>
          <w:rFonts w:ascii="Times New Roman"/>
        </w:rPr>
        <w:t>本文件起草单位：江苏省疾病预防控制中心、无锡市疾病预防控制中心、徐州市疾病预防控中心、苏州市疾病预防控制中心、南通市疾病预防控制中心、盐城市疾病预防控制中心、武进区疾病预防控制中心、南京市小市社区卫生服务中心。</w:t>
      </w:r>
    </w:p>
    <w:p w14:paraId="46529B6F">
      <w:pPr>
        <w:pStyle w:val="56"/>
        <w:ind w:firstLine="420"/>
        <w:rPr>
          <w:rFonts w:ascii="Times New Roman"/>
        </w:rPr>
      </w:pPr>
      <w:r>
        <w:rPr>
          <w:rFonts w:ascii="Times New Roman"/>
        </w:rPr>
        <w:t>本文件主要起草人：刘元宝、汪志国、汤奋扬、王旭雯、宋晓哲、栾琳、陈杰、管书慧、胡冉、刘丽、于静、潘英姿、屠晓艳、朱媛媛、许燕、张磊、许波荣。</w:t>
      </w:r>
    </w:p>
    <w:p w14:paraId="5941C1FF">
      <w:pPr>
        <w:pStyle w:val="56"/>
        <w:ind w:firstLine="420"/>
        <w:rPr>
          <w:rFonts w:ascii="Times New Roman"/>
        </w:rPr>
        <w:sectPr>
          <w:pgSz w:w="11906" w:h="16838"/>
          <w:pgMar w:top="1928" w:right="1134" w:bottom="1134" w:left="1134" w:header="1418" w:footer="1134" w:gutter="284"/>
          <w:pgNumType w:fmt="upperRoman"/>
          <w:cols w:space="425" w:num="1"/>
          <w:formProt w:val="0"/>
          <w:docGrid w:type="lines" w:linePitch="312" w:charSpace="0"/>
        </w:sectPr>
      </w:pPr>
    </w:p>
    <w:bookmarkEnd w:id="22"/>
    <w:p w14:paraId="2CE382C9">
      <w:pPr>
        <w:pStyle w:val="89"/>
        <w:spacing w:after="468"/>
        <w:rPr>
          <w:rFonts w:ascii="Times New Roman"/>
        </w:rPr>
      </w:pPr>
      <w:bookmarkStart w:id="23" w:name="_Toc14800"/>
      <w:bookmarkStart w:id="24" w:name="BookMark3"/>
      <w:r>
        <w:rPr>
          <w:rFonts w:ascii="Times New Roman"/>
          <w:spacing w:val="320"/>
        </w:rPr>
        <w:t>引</w:t>
      </w:r>
      <w:r>
        <w:rPr>
          <w:rFonts w:ascii="Times New Roman"/>
        </w:rPr>
        <w:t>言</w:t>
      </w:r>
      <w:bookmarkEnd w:id="23"/>
    </w:p>
    <w:p w14:paraId="2F1D26A6">
      <w:pPr>
        <w:pStyle w:val="56"/>
        <w:ind w:firstLine="420"/>
        <w:rPr>
          <w:rFonts w:ascii="Times New Roman"/>
        </w:rPr>
      </w:pPr>
      <w:r>
        <w:rPr>
          <w:rFonts w:ascii="Times New Roman"/>
        </w:rPr>
        <w:t>预防接种是预防、控制传染病的重要手段。本文件根据江苏省预防接种工作实际，制定了注射接种法、口服接种法、皮上划痕法和鼻喷接种法等主要疫苗接种技术方法的规范，推动各级疾控机构及各类预防接种门诊相关工作有章可循，有据可依，确保预防接种服务标准化、技术规范化及管理科学化。</w:t>
      </w:r>
    </w:p>
    <w:p w14:paraId="0C6068AD">
      <w:pPr>
        <w:pStyle w:val="56"/>
        <w:ind w:firstLine="420"/>
        <w:rPr>
          <w:rFonts w:ascii="Times New Roman"/>
        </w:rPr>
      </w:pPr>
      <w:bookmarkStart w:id="25" w:name="_Hlk168701617"/>
      <w:r>
        <w:rPr>
          <w:rFonts w:hint="eastAsia" w:ascii="Times New Roman"/>
        </w:rPr>
        <w:t>为使管理规范更具层次性和操作性，</w:t>
      </w:r>
      <w:bookmarkEnd w:id="25"/>
      <w:r>
        <w:rPr>
          <w:rFonts w:ascii="Times New Roman"/>
        </w:rPr>
        <w:t>本文件分为以下部分：</w:t>
      </w:r>
    </w:p>
    <w:p w14:paraId="699C7B6E">
      <w:pPr>
        <w:pStyle w:val="56"/>
        <w:ind w:firstLine="420"/>
        <w:rPr>
          <w:rFonts w:ascii="Times New Roman"/>
        </w:rPr>
      </w:pPr>
      <w:r>
        <w:rPr>
          <w:rFonts w:ascii="Times New Roman"/>
        </w:rPr>
        <w:t>——第1部分：预防接种门诊建设；</w:t>
      </w:r>
    </w:p>
    <w:p w14:paraId="333808D9">
      <w:pPr>
        <w:pStyle w:val="56"/>
        <w:ind w:firstLine="420"/>
        <w:rPr>
          <w:rFonts w:ascii="Times New Roman"/>
        </w:rPr>
      </w:pPr>
      <w:r>
        <w:rPr>
          <w:rFonts w:ascii="Times New Roman"/>
        </w:rPr>
        <w:t>——第2部分：疫苗接种方法。</w:t>
      </w:r>
    </w:p>
    <w:p w14:paraId="07B8372A">
      <w:pPr>
        <w:pStyle w:val="56"/>
        <w:ind w:firstLine="420"/>
        <w:rPr>
          <w:rFonts w:ascii="Times New Roman"/>
        </w:rPr>
      </w:pPr>
      <w:r>
        <w:rPr>
          <w:rFonts w:ascii="Times New Roman"/>
        </w:rPr>
        <w:t>本文件将对实现疾控机构和预防接种门诊“服务+技术+管理”的高质量发展目标，促进预防接种工作进一步规范化、标准化具有重要意义。</w:t>
      </w:r>
    </w:p>
    <w:p w14:paraId="155981AB">
      <w:pPr>
        <w:pStyle w:val="56"/>
        <w:ind w:firstLine="420"/>
        <w:rPr>
          <w:rFonts w:ascii="Times New Roman"/>
        </w:rPr>
        <w:sectPr>
          <w:pgSz w:w="11906" w:h="16838"/>
          <w:pgMar w:top="1928" w:right="1134" w:bottom="1134" w:left="1134" w:header="1418" w:footer="1134" w:gutter="284"/>
          <w:pgNumType w:fmt="upperRoman"/>
          <w:cols w:space="425" w:num="1"/>
          <w:formProt w:val="0"/>
          <w:docGrid w:type="lines" w:linePitch="312" w:charSpace="0"/>
        </w:sectPr>
      </w:pPr>
    </w:p>
    <w:bookmarkEnd w:id="24"/>
    <w:p w14:paraId="5D15668D">
      <w:pPr>
        <w:spacing w:line="20" w:lineRule="exact"/>
        <w:jc w:val="center"/>
        <w:rPr>
          <w:rFonts w:ascii="Times New Roman" w:hAnsi="Times New Roman" w:eastAsia="黑体"/>
          <w:sz w:val="32"/>
          <w:szCs w:val="32"/>
        </w:rPr>
      </w:pPr>
      <w:bookmarkStart w:id="26" w:name="BookMark4"/>
    </w:p>
    <w:p w14:paraId="190C22FD">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06E9FA4074264FB59917613B426DE562"/>
        </w:placeholder>
      </w:sdtPr>
      <w:sdtEndPr>
        <w:rPr>
          <w:rFonts w:ascii="Times New Roman" w:hAnsi="Times New Roman"/>
        </w:rPr>
      </w:sdtEndPr>
      <w:sdtContent>
        <w:p w14:paraId="01A70FBE">
          <w:pPr>
            <w:pStyle w:val="177"/>
            <w:spacing w:before="3" w:beforeLines="1" w:after="3" w:afterLines="1"/>
            <w:rPr>
              <w:rFonts w:ascii="Times New Roman" w:hAnsi="Times New Roman"/>
            </w:rPr>
          </w:pPr>
          <w:bookmarkStart w:id="27" w:name="NEW_STAND_NAME"/>
          <w:r>
            <w:rPr>
              <w:rFonts w:ascii="Times New Roman" w:hAnsi="Times New Roman"/>
            </w:rPr>
            <w:t>预防接种技术管理规范</w:t>
          </w:r>
        </w:p>
        <w:p w14:paraId="0113989C">
          <w:pPr>
            <w:pStyle w:val="177"/>
            <w:spacing w:before="3" w:beforeLines="1" w:after="680"/>
            <w:rPr>
              <w:rFonts w:ascii="Times New Roman" w:hAnsi="Times New Roman"/>
            </w:rPr>
          </w:pPr>
          <w:r>
            <w:rPr>
              <w:rFonts w:ascii="Times New Roman" w:hAnsi="Times New Roman"/>
            </w:rPr>
            <w:t>第2部分：疫苗接种方法</w:t>
          </w:r>
        </w:p>
      </w:sdtContent>
    </w:sdt>
    <w:bookmarkEnd w:id="27"/>
    <w:p w14:paraId="67D24F12">
      <w:pPr>
        <w:pStyle w:val="104"/>
        <w:spacing w:before="312" w:after="312"/>
        <w:rPr>
          <w:rFonts w:ascii="Times New Roman"/>
        </w:rPr>
      </w:pPr>
      <w:bookmarkStart w:id="28" w:name="_Toc17233333"/>
      <w:bookmarkStart w:id="29" w:name="_Toc24884218"/>
      <w:bookmarkStart w:id="30" w:name="_Toc26648465"/>
      <w:bookmarkStart w:id="31" w:name="_Toc26986530"/>
      <w:bookmarkStart w:id="32" w:name="_Toc97191423"/>
      <w:bookmarkStart w:id="33" w:name="_Toc24884211"/>
      <w:bookmarkStart w:id="34" w:name="_Toc26718930"/>
      <w:bookmarkStart w:id="35" w:name="_Toc17233325"/>
      <w:bookmarkStart w:id="36" w:name="_Toc26986771"/>
      <w:bookmarkStart w:id="37" w:name="_Toc14083"/>
      <w:r>
        <w:rPr>
          <w:rFonts w:ascii="Times New Roman"/>
        </w:rPr>
        <w:t>范围</w:t>
      </w:r>
      <w:bookmarkEnd w:id="28"/>
      <w:bookmarkEnd w:id="29"/>
      <w:bookmarkEnd w:id="30"/>
      <w:bookmarkEnd w:id="31"/>
      <w:bookmarkEnd w:id="32"/>
      <w:bookmarkEnd w:id="33"/>
      <w:bookmarkEnd w:id="34"/>
      <w:bookmarkEnd w:id="35"/>
      <w:bookmarkEnd w:id="36"/>
      <w:bookmarkEnd w:id="37"/>
    </w:p>
    <w:p w14:paraId="0A3045F0">
      <w:pPr>
        <w:pStyle w:val="56"/>
        <w:ind w:firstLine="420"/>
        <w:rPr>
          <w:rFonts w:ascii="Times New Roman"/>
        </w:rPr>
      </w:pPr>
      <w:bookmarkStart w:id="38" w:name="_Toc24884219"/>
      <w:bookmarkStart w:id="39" w:name="_Toc17233334"/>
      <w:bookmarkStart w:id="40" w:name="_Toc17233326"/>
      <w:bookmarkStart w:id="41" w:name="_Toc24884212"/>
      <w:bookmarkStart w:id="42" w:name="_Toc26648466"/>
      <w:r>
        <w:rPr>
          <w:rFonts w:ascii="Times New Roman"/>
        </w:rPr>
        <w:t>本</w:t>
      </w:r>
      <w:r>
        <w:rPr>
          <w:rFonts w:hint="eastAsia" w:ascii="Times New Roman"/>
        </w:rPr>
        <w:t>文件</w:t>
      </w:r>
      <w:r>
        <w:rPr>
          <w:rFonts w:ascii="Times New Roman"/>
        </w:rPr>
        <w:t>规定了上市疫苗的疫苗接种方法，包括注射接种法、口服接种法、皮上划痕法和鼻喷接种法，其中注射接种法有皮内注射法、皮下注射法和肌内注射法。</w:t>
      </w:r>
    </w:p>
    <w:p w14:paraId="78F7ABA0">
      <w:pPr>
        <w:pStyle w:val="56"/>
        <w:ind w:firstLine="420"/>
        <w:rPr>
          <w:rFonts w:ascii="Times New Roman"/>
        </w:rPr>
      </w:pPr>
      <w:r>
        <w:rPr>
          <w:rFonts w:ascii="Times New Roman"/>
        </w:rPr>
        <w:t>本</w:t>
      </w:r>
      <w:r>
        <w:rPr>
          <w:rFonts w:hint="eastAsia" w:ascii="Times New Roman"/>
        </w:rPr>
        <w:t>文件</w:t>
      </w:r>
      <w:r>
        <w:rPr>
          <w:rFonts w:ascii="Times New Roman"/>
        </w:rPr>
        <w:t>适用于预防接种单位开展预防接种、日常管理及疾病预防控制机构技术指导和监督管理部门的监督检查。</w:t>
      </w:r>
    </w:p>
    <w:p w14:paraId="5080161B">
      <w:pPr>
        <w:pStyle w:val="104"/>
        <w:spacing w:before="312" w:after="312"/>
        <w:rPr>
          <w:rFonts w:ascii="Times New Roman"/>
        </w:rPr>
      </w:pPr>
      <w:bookmarkStart w:id="43" w:name="_Toc26986772"/>
      <w:bookmarkStart w:id="44" w:name="_Toc4521"/>
      <w:bookmarkStart w:id="45" w:name="_Toc26718931"/>
      <w:bookmarkStart w:id="46" w:name="_Toc97191424"/>
      <w:bookmarkStart w:id="47" w:name="_Toc26986531"/>
      <w:r>
        <w:rPr>
          <w:rFonts w:ascii="Times New Roman"/>
        </w:rPr>
        <w:t>规范性引用文件</w:t>
      </w:r>
      <w:bookmarkEnd w:id="38"/>
      <w:bookmarkEnd w:id="39"/>
      <w:bookmarkEnd w:id="40"/>
      <w:bookmarkEnd w:id="41"/>
      <w:bookmarkEnd w:id="42"/>
      <w:bookmarkEnd w:id="43"/>
      <w:bookmarkEnd w:id="44"/>
      <w:bookmarkEnd w:id="45"/>
      <w:bookmarkEnd w:id="46"/>
      <w:bookmarkEnd w:id="47"/>
    </w:p>
    <w:sdt>
      <w:sdtPr>
        <w:rPr>
          <w:rFonts w:ascii="Times New Roman"/>
        </w:rPr>
        <w:id w:val="715848253"/>
        <w:placeholder>
          <w:docPart w:val="84B23DDB76894B2184AAC5DEEA789D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5CDCE2BF">
          <w:pPr>
            <w:pStyle w:val="56"/>
            <w:ind w:firstLine="420"/>
            <w:rPr>
              <w:rFonts w:ascii="Times New Roman"/>
            </w:rPr>
          </w:pPr>
          <w:r>
            <w:rPr>
              <w:rFonts w:ascii="Times New Roman"/>
            </w:rPr>
            <w:t>本文件没有规范性引用文件。</w:t>
          </w:r>
        </w:p>
      </w:sdtContent>
    </w:sdt>
    <w:p w14:paraId="20F3AA88">
      <w:pPr>
        <w:pStyle w:val="104"/>
        <w:spacing w:before="312" w:after="312"/>
        <w:rPr>
          <w:rFonts w:ascii="Times New Roman"/>
        </w:rPr>
      </w:pPr>
      <w:bookmarkStart w:id="48" w:name="_Toc24870"/>
      <w:bookmarkStart w:id="49" w:name="_Toc97191425"/>
      <w:r>
        <w:rPr>
          <w:rFonts w:ascii="Times New Roman"/>
          <w:szCs w:val="21"/>
        </w:rPr>
        <w:t>术语和定义</w:t>
      </w:r>
      <w:bookmarkEnd w:id="48"/>
      <w:bookmarkEnd w:id="49"/>
    </w:p>
    <w:sdt>
      <w:sdtPr>
        <w:rPr>
          <w:rFonts w:ascii="Times New Roman"/>
        </w:rPr>
        <w:id w:val="-1909835108"/>
        <w:placeholder>
          <w:docPart w:val="5C4AB730027F411E908D6AF1269197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7A959B68">
          <w:pPr>
            <w:pStyle w:val="56"/>
            <w:ind w:firstLine="420"/>
            <w:rPr>
              <w:rFonts w:ascii="Times New Roman"/>
            </w:rPr>
          </w:pPr>
          <w:bookmarkStart w:id="50" w:name="_Toc26986532"/>
          <w:bookmarkEnd w:id="50"/>
          <w:r>
            <w:rPr>
              <w:rFonts w:ascii="Times New Roman"/>
            </w:rPr>
            <w:t>下列术语和定义适用于本文件。</w:t>
          </w:r>
        </w:p>
      </w:sdtContent>
    </w:sdt>
    <w:p w14:paraId="5877DACB">
      <w:pPr>
        <w:pStyle w:val="223"/>
        <w:ind w:left="420" w:hanging="420" w:hangingChars="200"/>
        <w:rPr>
          <w:rFonts w:ascii="Times New Roman" w:eastAsia="黑体"/>
        </w:rPr>
      </w:pPr>
      <w:r>
        <w:rPr>
          <w:rFonts w:ascii="Times New Roman" w:eastAsia="黑体"/>
        </w:rPr>
        <w:br w:type="textWrapping"/>
      </w:r>
      <w:r>
        <w:rPr>
          <w:rFonts w:ascii="Times New Roman" w:eastAsia="黑体"/>
        </w:rPr>
        <w:t>疫苗 Vaccine</w:t>
      </w:r>
    </w:p>
    <w:p w14:paraId="09117AE3">
      <w:pPr>
        <w:pStyle w:val="56"/>
        <w:ind w:firstLine="420"/>
        <w:rPr>
          <w:rFonts w:ascii="Times New Roman"/>
        </w:rPr>
      </w:pPr>
      <w:r>
        <w:rPr>
          <w:rFonts w:ascii="Times New Roman"/>
        </w:rPr>
        <w:t>为预防、控制疾病的发生、流行，用于人体免疫接种的预防性生物制品，包括免疫规划疫苗和非免疫规划疫苗。</w:t>
      </w:r>
    </w:p>
    <w:p w14:paraId="7EA40178">
      <w:pPr>
        <w:pStyle w:val="223"/>
        <w:rPr>
          <w:rFonts w:ascii="Times New Roman" w:eastAsia="黑体"/>
        </w:rPr>
      </w:pPr>
      <w:r>
        <w:rPr>
          <w:rFonts w:ascii="Times New Roman" w:eastAsia="黑体"/>
        </w:rPr>
        <w:br w:type="textWrapping"/>
      </w:r>
      <w:r>
        <w:rPr>
          <w:rFonts w:ascii="Times New Roman" w:eastAsia="黑体"/>
        </w:rPr>
        <w:t xml:space="preserve">    皮内注射法 Intradermal injection</w:t>
      </w:r>
    </w:p>
    <w:p w14:paraId="74D962D5">
      <w:pPr>
        <w:pStyle w:val="56"/>
        <w:ind w:firstLine="420"/>
        <w:rPr>
          <w:rFonts w:ascii="Times New Roman"/>
        </w:rPr>
      </w:pPr>
      <w:r>
        <w:rPr>
          <w:rFonts w:ascii="Times New Roman"/>
        </w:rPr>
        <w:t>将疫苗注入人体表皮和真皮之间的方法。</w:t>
      </w:r>
    </w:p>
    <w:p w14:paraId="52B18A87">
      <w:pPr>
        <w:pStyle w:val="223"/>
        <w:rPr>
          <w:rFonts w:ascii="Times New Roman" w:eastAsia="黑体"/>
        </w:rPr>
      </w:pPr>
      <w:r>
        <w:rPr>
          <w:rFonts w:ascii="Times New Roman" w:eastAsia="黑体"/>
        </w:rPr>
        <w:br w:type="textWrapping"/>
      </w:r>
      <w:r>
        <w:rPr>
          <w:rFonts w:ascii="Times New Roman" w:eastAsia="黑体"/>
        </w:rPr>
        <w:t xml:space="preserve">    皮下注射法Subcutaneous injection</w:t>
      </w:r>
    </w:p>
    <w:p w14:paraId="001C2E58">
      <w:pPr>
        <w:pStyle w:val="56"/>
        <w:ind w:firstLine="420"/>
        <w:rPr>
          <w:rFonts w:ascii="Times New Roman"/>
        </w:rPr>
      </w:pPr>
      <w:r>
        <w:rPr>
          <w:rFonts w:ascii="Times New Roman"/>
        </w:rPr>
        <w:t>将疫苗注入皮下组织内的方法。</w:t>
      </w:r>
    </w:p>
    <w:p w14:paraId="542A9C84">
      <w:pPr>
        <w:pStyle w:val="223"/>
        <w:rPr>
          <w:rFonts w:ascii="Times New Roman" w:eastAsia="黑体"/>
        </w:rPr>
      </w:pPr>
      <w:r>
        <w:rPr>
          <w:rFonts w:ascii="Times New Roman" w:eastAsia="黑体"/>
        </w:rPr>
        <w:br w:type="textWrapping"/>
      </w:r>
      <w:r>
        <w:rPr>
          <w:rFonts w:ascii="Times New Roman" w:eastAsia="黑体"/>
        </w:rPr>
        <w:t xml:space="preserve">    肌内注射法Intramuscular injection</w:t>
      </w:r>
    </w:p>
    <w:p w14:paraId="01C356CA">
      <w:pPr>
        <w:pStyle w:val="56"/>
        <w:ind w:firstLine="420"/>
        <w:rPr>
          <w:rFonts w:ascii="Times New Roman"/>
        </w:rPr>
      </w:pPr>
      <w:r>
        <w:rPr>
          <w:rFonts w:ascii="Times New Roman"/>
        </w:rPr>
        <w:t>将疫苗注入肌肉组织内的方法。</w:t>
      </w:r>
    </w:p>
    <w:p w14:paraId="3DE53549">
      <w:pPr>
        <w:pStyle w:val="223"/>
        <w:rPr>
          <w:rFonts w:ascii="Times New Roman" w:eastAsia="黑体"/>
        </w:rPr>
      </w:pPr>
      <w:r>
        <w:rPr>
          <w:rFonts w:ascii="Times New Roman" w:eastAsia="黑体"/>
        </w:rPr>
        <w:br w:type="textWrapping"/>
      </w:r>
      <w:r>
        <w:rPr>
          <w:rFonts w:ascii="Times New Roman" w:eastAsia="黑体"/>
        </w:rPr>
        <w:t xml:space="preserve">    口服接种法 Oral administration</w:t>
      </w:r>
    </w:p>
    <w:p w14:paraId="1D3A0A50">
      <w:pPr>
        <w:pStyle w:val="56"/>
        <w:ind w:firstLine="420"/>
        <w:rPr>
          <w:rFonts w:ascii="Times New Roman"/>
        </w:rPr>
      </w:pPr>
      <w:r>
        <w:rPr>
          <w:rFonts w:ascii="Times New Roman"/>
        </w:rPr>
        <w:t>将疫苗吞咽进入体内的方法。</w:t>
      </w:r>
    </w:p>
    <w:p w14:paraId="56AA72E8">
      <w:pPr>
        <w:pStyle w:val="223"/>
        <w:rPr>
          <w:rFonts w:ascii="Times New Roman" w:eastAsia="黑体"/>
        </w:rPr>
      </w:pPr>
      <w:r>
        <w:rPr>
          <w:rFonts w:ascii="Times New Roman" w:eastAsia="黑体"/>
        </w:rPr>
        <w:t xml:space="preserve">    </w:t>
      </w:r>
    </w:p>
    <w:p w14:paraId="640711EF">
      <w:pPr>
        <w:pStyle w:val="223"/>
        <w:numPr>
          <w:ilvl w:val="2"/>
          <w:numId w:val="0"/>
        </w:numPr>
        <w:ind w:firstLine="420" w:firstLineChars="200"/>
        <w:rPr>
          <w:rFonts w:ascii="Times New Roman" w:eastAsia="黑体"/>
        </w:rPr>
      </w:pPr>
      <w:r>
        <w:rPr>
          <w:rFonts w:ascii="Times New Roman" w:eastAsia="黑体"/>
        </w:rPr>
        <w:t>皮上划痕法 Skin scratch administration</w:t>
      </w:r>
    </w:p>
    <w:p w14:paraId="7E47EDFD">
      <w:pPr>
        <w:pStyle w:val="56"/>
        <w:ind w:firstLine="420"/>
        <w:rPr>
          <w:rFonts w:ascii="Times New Roman"/>
        </w:rPr>
      </w:pPr>
      <w:r>
        <w:rPr>
          <w:rFonts w:ascii="Times New Roman"/>
        </w:rPr>
        <w:t>将疫苗涂压皮上划痕进入体内的方法</w:t>
      </w:r>
    </w:p>
    <w:p w14:paraId="2881FFE4">
      <w:pPr>
        <w:pStyle w:val="223"/>
        <w:rPr>
          <w:rFonts w:ascii="Times New Roman" w:eastAsia="黑体"/>
        </w:rPr>
      </w:pPr>
      <w:r>
        <w:rPr>
          <w:rFonts w:ascii="Times New Roman" w:eastAsia="黑体"/>
        </w:rPr>
        <w:br w:type="textWrapping"/>
      </w:r>
      <w:r>
        <w:rPr>
          <w:rFonts w:ascii="Times New Roman" w:eastAsia="黑体"/>
        </w:rPr>
        <w:t xml:space="preserve">    鼻喷接种法 Nasal spray administration</w:t>
      </w:r>
    </w:p>
    <w:p w14:paraId="1E42A6C5">
      <w:pPr>
        <w:pStyle w:val="56"/>
        <w:ind w:firstLine="420"/>
        <w:rPr>
          <w:rFonts w:ascii="Times New Roman"/>
        </w:rPr>
      </w:pPr>
      <w:r>
        <w:rPr>
          <w:rFonts w:ascii="Times New Roman"/>
        </w:rPr>
        <w:t>将疫苗对鼻腔喷雾并覆盖到鼻腔粘膜的方法。</w:t>
      </w:r>
    </w:p>
    <w:p w14:paraId="6BC0E5F8">
      <w:pPr>
        <w:pStyle w:val="56"/>
        <w:ind w:firstLine="420"/>
        <w:rPr>
          <w:rFonts w:ascii="Times New Roman"/>
        </w:rPr>
      </w:pPr>
    </w:p>
    <w:p w14:paraId="7E049E57">
      <w:pPr>
        <w:pStyle w:val="104"/>
        <w:spacing w:before="312" w:after="312"/>
        <w:rPr>
          <w:rFonts w:ascii="Times New Roman"/>
        </w:rPr>
      </w:pPr>
      <w:bookmarkStart w:id="51" w:name="_Toc4558"/>
      <w:r>
        <w:rPr>
          <w:rFonts w:ascii="Times New Roman"/>
        </w:rPr>
        <w:t>疫苗吸取和使用基本要求</w:t>
      </w:r>
      <w:bookmarkEnd w:id="51"/>
    </w:p>
    <w:p w14:paraId="123B7A73">
      <w:pPr>
        <w:pStyle w:val="105"/>
        <w:spacing w:before="156" w:after="156"/>
        <w:rPr>
          <w:rFonts w:ascii="Times New Roman"/>
        </w:rPr>
      </w:pPr>
      <w:bookmarkStart w:id="52" w:name="_Toc161667577"/>
      <w:bookmarkStart w:id="53" w:name="_Toc168351079"/>
      <w:bookmarkStart w:id="54" w:name="_Toc6064"/>
      <w:bookmarkStart w:id="55" w:name="_Toc168270695"/>
      <w:bookmarkStart w:id="56" w:name="_Toc10797"/>
      <w:r>
        <w:rPr>
          <w:rFonts w:ascii="Times New Roman"/>
        </w:rPr>
        <w:t>注射</w:t>
      </w:r>
      <w:bookmarkEnd w:id="52"/>
      <w:r>
        <w:rPr>
          <w:rFonts w:ascii="Times New Roman"/>
        </w:rPr>
        <w:t>接种法</w:t>
      </w:r>
      <w:bookmarkEnd w:id="53"/>
      <w:bookmarkEnd w:id="54"/>
      <w:bookmarkEnd w:id="55"/>
      <w:bookmarkEnd w:id="56"/>
    </w:p>
    <w:p w14:paraId="0ED55796">
      <w:pPr>
        <w:pStyle w:val="165"/>
        <w:rPr>
          <w:rFonts w:ascii="Times New Roman"/>
        </w:rPr>
      </w:pPr>
      <w:r>
        <w:rPr>
          <w:rFonts w:ascii="Times New Roman"/>
        </w:rPr>
        <w:t>将疫苗瓶上部疫苗弹至底部，用 75%乙醇棉球消毒开启部位。</w:t>
      </w:r>
    </w:p>
    <w:p w14:paraId="298DC5BF">
      <w:pPr>
        <w:pStyle w:val="165"/>
        <w:rPr>
          <w:rFonts w:ascii="Times New Roman"/>
        </w:rPr>
      </w:pPr>
      <w:r>
        <w:rPr>
          <w:rFonts w:ascii="Times New Roman"/>
        </w:rPr>
        <w:t>在乙醇挥发后将注射器针头斜面向下插入疫苗瓶的液面下吸取疫苗。</w:t>
      </w:r>
    </w:p>
    <w:p w14:paraId="3EE80954">
      <w:pPr>
        <w:pStyle w:val="165"/>
        <w:rPr>
          <w:rFonts w:ascii="Times New Roman"/>
        </w:rPr>
      </w:pPr>
      <w:r>
        <w:rPr>
          <w:rFonts w:ascii="Times New Roman"/>
        </w:rPr>
        <w:t>吸取疫苗后，将注射器的针头向上，排空注射器内气泡，直至针头上有一小滴疫苗出现为止。</w:t>
      </w:r>
    </w:p>
    <w:p w14:paraId="66BAA64B">
      <w:pPr>
        <w:pStyle w:val="165"/>
        <w:rPr>
          <w:rFonts w:ascii="Times New Roman"/>
        </w:rPr>
      </w:pPr>
      <w:r>
        <w:rPr>
          <w:rFonts w:ascii="Times New Roman"/>
        </w:rPr>
        <w:t>使用含有吸附剂的疫苗前，应当充分摇匀。</w:t>
      </w:r>
    </w:p>
    <w:p w14:paraId="218A6FBA">
      <w:pPr>
        <w:pStyle w:val="165"/>
        <w:rPr>
          <w:rFonts w:ascii="Times New Roman"/>
        </w:rPr>
      </w:pPr>
      <w:r>
        <w:rPr>
          <w:rFonts w:ascii="Times New Roman"/>
        </w:rPr>
        <w:t>使用冻干剂型疫苗时，用一次性注射器抽取稀释液，沿疫苗瓶内壁缓慢注入，轻轻摇荡，使疫苗充分溶解，避免出现泡沫。</w:t>
      </w:r>
    </w:p>
    <w:p w14:paraId="56ECFC4C">
      <w:pPr>
        <w:pStyle w:val="165"/>
        <w:rPr>
          <w:rFonts w:ascii="Times New Roman"/>
        </w:rPr>
      </w:pPr>
      <w:r>
        <w:rPr>
          <w:rFonts w:ascii="Times New Roman"/>
        </w:rPr>
        <w:t>开启减毒疫苗瓶和注射时，禁止消毒剂接触疫苗。</w:t>
      </w:r>
    </w:p>
    <w:p w14:paraId="5C97E59F">
      <w:pPr>
        <w:pStyle w:val="165"/>
        <w:rPr>
          <w:rFonts w:ascii="Times New Roman"/>
        </w:rPr>
      </w:pPr>
      <w:bookmarkStart w:id="57" w:name="_Hlk161668136"/>
      <w:r>
        <w:rPr>
          <w:rFonts w:ascii="Times New Roman"/>
        </w:rPr>
        <w:t>疫苗瓶开启后如不能立即用完，应在瓶身上标注开启时间，并盖上无菌干棉球2 ℃～8 ℃冷藏。疫苗瓶开启后，减毒活疫苗超过30 min、灭活疫苗超过1 h未用完（疫苗说明书另有规定除外），应将剩余疫苗废弃。</w:t>
      </w:r>
      <w:bookmarkEnd w:id="57"/>
    </w:p>
    <w:p w14:paraId="4A50E1D3">
      <w:pPr>
        <w:pStyle w:val="165"/>
        <w:rPr>
          <w:rFonts w:ascii="Times New Roman"/>
        </w:rPr>
      </w:pPr>
      <w:r>
        <w:rPr>
          <w:rFonts w:ascii="Times New Roman"/>
        </w:rPr>
        <w:t>接种部位要避开疤痕、炎症、硬结和皮肤病变处。</w:t>
      </w:r>
    </w:p>
    <w:p w14:paraId="1BF4260F">
      <w:pPr>
        <w:pStyle w:val="165"/>
        <w:rPr>
          <w:rFonts w:ascii="Times New Roman"/>
        </w:rPr>
      </w:pPr>
      <w:r>
        <w:rPr>
          <w:rFonts w:ascii="Times New Roman"/>
        </w:rPr>
        <w:t>用灭菌镊子夹取75%乙醇棉球或用无菌棉签蘸75%乙醇，由内向外螺旋式对接种部位皮肤进行消毒，涂擦直径≥5 cm，待晾干后立即接种。</w:t>
      </w:r>
    </w:p>
    <w:p w14:paraId="0064CF17">
      <w:pPr>
        <w:pStyle w:val="105"/>
        <w:spacing w:before="156" w:after="156"/>
        <w:rPr>
          <w:rFonts w:ascii="Times New Roman"/>
        </w:rPr>
      </w:pPr>
      <w:bookmarkStart w:id="58" w:name="_Toc161667578"/>
      <w:bookmarkStart w:id="59" w:name="_Toc2167"/>
      <w:bookmarkStart w:id="60" w:name="_Toc168351080"/>
      <w:bookmarkStart w:id="61" w:name="_Toc168270696"/>
      <w:bookmarkStart w:id="62" w:name="_Toc2814"/>
      <w:r>
        <w:rPr>
          <w:rFonts w:ascii="Times New Roman"/>
        </w:rPr>
        <w:t>口服</w:t>
      </w:r>
      <w:bookmarkEnd w:id="58"/>
      <w:r>
        <w:rPr>
          <w:rFonts w:ascii="Times New Roman"/>
        </w:rPr>
        <w:t>接种法</w:t>
      </w:r>
      <w:bookmarkEnd w:id="59"/>
      <w:bookmarkEnd w:id="60"/>
      <w:bookmarkEnd w:id="61"/>
      <w:bookmarkEnd w:id="62"/>
    </w:p>
    <w:p w14:paraId="36695D54">
      <w:pPr>
        <w:pStyle w:val="65"/>
        <w:spacing w:before="156" w:after="156"/>
      </w:pPr>
      <w:r>
        <w:t>口服I型III型脊髓灰质炎减毒活疫苗</w:t>
      </w:r>
    </w:p>
    <w:p w14:paraId="032E2D4C">
      <w:pPr>
        <w:pStyle w:val="164"/>
      </w:pPr>
      <w:r>
        <w:t>标签不清或失效、疫苗出现浑浊、变色，或疫苗瓶有裂纹等异常者，均不可使用。</w:t>
      </w:r>
    </w:p>
    <w:p w14:paraId="1D8C6CF1">
      <w:pPr>
        <w:pStyle w:val="164"/>
      </w:pPr>
      <w:r>
        <w:t>冷冻疫苗使用前先室温复溶，化冻后和开启后剩余的疫苗应放置在2</w:t>
      </w:r>
      <w:r>
        <w:rPr>
          <w:rFonts w:hint="eastAsia"/>
        </w:rPr>
        <w:t xml:space="preserve"> </w:t>
      </w:r>
      <w:r>
        <w:t>℃～8</w:t>
      </w:r>
      <w:r>
        <w:rPr>
          <w:rFonts w:hint="eastAsia"/>
        </w:rPr>
        <w:t xml:space="preserve"> </w:t>
      </w:r>
      <w:r>
        <w:t>℃临时保存，供本次接种服务使用。</w:t>
      </w:r>
    </w:p>
    <w:p w14:paraId="2F3C1319">
      <w:pPr>
        <w:pStyle w:val="164"/>
      </w:pPr>
      <w:r>
        <w:t>疫苗塑料管开启后，疫苗未能一次使用完，可将盖子翻转插入塑料管口以保证密封，保持直立，置于2℃～8℃临时保存，并于当天用完。当天未使用完，剩余疫苗应废弃。</w:t>
      </w:r>
    </w:p>
    <w:p w14:paraId="2EB583BE">
      <w:pPr>
        <w:pStyle w:val="164"/>
      </w:pPr>
      <w:r>
        <w:t>当天已化冻但尚未开封的疫苗，可重新放置于-20</w:t>
      </w:r>
      <w:r>
        <w:rPr>
          <w:rFonts w:hint="eastAsia"/>
        </w:rPr>
        <w:t xml:space="preserve"> </w:t>
      </w:r>
      <w:r>
        <w:t>℃保存，但建议第二天尽快使用。</w:t>
      </w:r>
    </w:p>
    <w:p w14:paraId="048BEBD1">
      <w:pPr>
        <w:pStyle w:val="164"/>
        <w:rPr>
          <w:rFonts w:eastAsia="黑体"/>
        </w:rPr>
      </w:pPr>
      <w:r>
        <w:t>避免疫苗的管口与口腔接触。</w:t>
      </w:r>
    </w:p>
    <w:p w14:paraId="06E25199">
      <w:pPr>
        <w:pStyle w:val="164"/>
        <w:rPr>
          <w:rFonts w:eastAsia="黑体"/>
        </w:rPr>
      </w:pPr>
      <w:r>
        <w:t>如因某种原因未能给予足够剂量(如疫苗被吐出)，应先饮少量凉开水，休息片刻后再足量补服。</w:t>
      </w:r>
    </w:p>
    <w:p w14:paraId="3361158D">
      <w:pPr>
        <w:pStyle w:val="65"/>
        <w:spacing w:before="156" w:after="156"/>
      </w:pPr>
      <w:r>
        <w:t>口服轮状病毒活疫苗/口服三价重配轮状病毒减毒活疫苗</w:t>
      </w:r>
    </w:p>
    <w:p w14:paraId="2E849A31">
      <w:pPr>
        <w:pStyle w:val="164"/>
      </w:pPr>
      <w:r>
        <w:t>标签不清或失效、疫苗出现浑浊、变色</w:t>
      </w:r>
      <w:r>
        <w:rPr>
          <w:rFonts w:hint="eastAsia"/>
        </w:rPr>
        <w:t>，</w:t>
      </w:r>
      <w:r>
        <w:t>或疫苗瓶有裂纹等异常者</w:t>
      </w:r>
      <w:r>
        <w:rPr>
          <w:rFonts w:hint="eastAsia"/>
        </w:rPr>
        <w:t>，</w:t>
      </w:r>
      <w:r>
        <w:t>均不</w:t>
      </w:r>
      <w:r>
        <w:rPr>
          <w:rFonts w:hint="eastAsia"/>
        </w:rPr>
        <w:t>可</w:t>
      </w:r>
      <w:r>
        <w:t>使用。</w:t>
      </w:r>
    </w:p>
    <w:p w14:paraId="301C06B8">
      <w:pPr>
        <w:pStyle w:val="164"/>
      </w:pPr>
      <w:r>
        <w:t xml:space="preserve">疫苗瓶开启后应在30 min内用完。 </w:t>
      </w:r>
    </w:p>
    <w:p w14:paraId="3E3A8E2C">
      <w:pPr>
        <w:pStyle w:val="164"/>
      </w:pPr>
      <w:r>
        <w:t>如因某种原因未能给予足够剂量，不建议给予补充接种 。</w:t>
      </w:r>
    </w:p>
    <w:p w14:paraId="676CF2D7">
      <w:pPr>
        <w:pStyle w:val="65"/>
        <w:spacing w:before="156" w:after="156"/>
      </w:pPr>
      <w:r>
        <w:t>口服五价重配轮状病毒减毒活疫苗</w:t>
      </w:r>
    </w:p>
    <w:p w14:paraId="59AD1F89">
      <w:pPr>
        <w:pStyle w:val="164"/>
      </w:pPr>
      <w:r>
        <w:t>标签不清或失效、疫苗出现浑浊、变色</w:t>
      </w:r>
      <w:r>
        <w:rPr>
          <w:rFonts w:hint="eastAsia"/>
        </w:rPr>
        <w:t>，</w:t>
      </w:r>
      <w:r>
        <w:t>或疫苗瓶有裂纹等异常者</w:t>
      </w:r>
      <w:r>
        <w:rPr>
          <w:rFonts w:hint="eastAsia"/>
        </w:rPr>
        <w:t>，</w:t>
      </w:r>
      <w:r>
        <w:t>均不</w:t>
      </w:r>
      <w:r>
        <w:rPr>
          <w:rFonts w:hint="eastAsia"/>
        </w:rPr>
        <w:t>可</w:t>
      </w:r>
      <w:r>
        <w:t>使用。</w:t>
      </w:r>
    </w:p>
    <w:p w14:paraId="619FA728">
      <w:pPr>
        <w:pStyle w:val="164"/>
      </w:pPr>
      <w:r>
        <w:t>从冰箱取出口服五价重配轮状病毒减毒活疫苗后，如置于≤25</w:t>
      </w:r>
      <w:r>
        <w:rPr>
          <w:rFonts w:hint="eastAsia"/>
        </w:rPr>
        <w:t xml:space="preserve"> </w:t>
      </w:r>
      <w:r>
        <w:t>℃室温，应在48</w:t>
      </w:r>
      <w:r>
        <w:rPr>
          <w:rFonts w:hint="eastAsia"/>
        </w:rPr>
        <w:t xml:space="preserve"> </w:t>
      </w:r>
      <w:r>
        <w:t>h内使用；对于超出48 h的疫苗，应废弃。</w:t>
      </w:r>
    </w:p>
    <w:p w14:paraId="44DC81F2">
      <w:pPr>
        <w:pStyle w:val="164"/>
      </w:pPr>
      <w:r>
        <w:t>如因某种原因未能给予足够剂量，不建议给予补充接种。</w:t>
      </w:r>
    </w:p>
    <w:p w14:paraId="5A7207A4">
      <w:pPr>
        <w:pStyle w:val="105"/>
        <w:spacing w:before="156" w:after="156"/>
        <w:rPr>
          <w:rFonts w:ascii="Times New Roman"/>
        </w:rPr>
      </w:pPr>
      <w:bookmarkStart w:id="63" w:name="_Toc168351081"/>
      <w:bookmarkStart w:id="64" w:name="_Toc168270697"/>
      <w:bookmarkStart w:id="65" w:name="_Toc5455"/>
      <w:bookmarkStart w:id="66" w:name="_Toc12270"/>
      <w:r>
        <w:rPr>
          <w:rFonts w:ascii="Times New Roman"/>
        </w:rPr>
        <w:t>皮上划痕法</w:t>
      </w:r>
      <w:bookmarkEnd w:id="63"/>
      <w:bookmarkEnd w:id="64"/>
      <w:bookmarkEnd w:id="65"/>
      <w:bookmarkEnd w:id="66"/>
    </w:p>
    <w:p w14:paraId="639BF98A">
      <w:pPr>
        <w:pStyle w:val="165"/>
        <w:rPr>
          <w:rFonts w:ascii="Times New Roman"/>
        </w:rPr>
      </w:pPr>
      <w:r>
        <w:rPr>
          <w:rFonts w:ascii="Times New Roman"/>
        </w:rPr>
        <w:t>接种部位</w:t>
      </w:r>
      <w:r>
        <w:rPr>
          <w:rFonts w:hint="eastAsia" w:ascii="Times New Roman"/>
        </w:rPr>
        <w:t>应</w:t>
      </w:r>
      <w:r>
        <w:rPr>
          <w:rFonts w:ascii="Times New Roman"/>
        </w:rPr>
        <w:t>避开疤痕、炎症、硬结和皮肤病变处。</w:t>
      </w:r>
    </w:p>
    <w:p w14:paraId="71C1109A">
      <w:pPr>
        <w:pStyle w:val="165"/>
        <w:rPr>
          <w:rFonts w:ascii="Times New Roman"/>
        </w:rPr>
      </w:pPr>
      <w:r>
        <w:rPr>
          <w:rFonts w:ascii="Times New Roman"/>
        </w:rPr>
        <w:t>疫苗有摇不散凝块、疫苗瓶有裂纹、标签不清者，均不可使用。</w:t>
      </w:r>
    </w:p>
    <w:p w14:paraId="16A6CC40">
      <w:pPr>
        <w:pStyle w:val="165"/>
        <w:rPr>
          <w:rFonts w:ascii="Times New Roman"/>
        </w:rPr>
      </w:pPr>
      <w:r>
        <w:rPr>
          <w:rFonts w:ascii="Times New Roman"/>
        </w:rPr>
        <w:t>疫苗瓶开启后，应于3 h内用完，3 h未用完疫苗应废弃。</w:t>
      </w:r>
    </w:p>
    <w:p w14:paraId="17F660BC">
      <w:pPr>
        <w:pStyle w:val="165"/>
        <w:rPr>
          <w:rFonts w:ascii="Times New Roman"/>
        </w:rPr>
      </w:pPr>
      <w:r>
        <w:rPr>
          <w:rFonts w:ascii="Times New Roman"/>
        </w:rPr>
        <w:t>接种后24 h划痕局部应有轻微红肿、浸润，若无任何反应，应重新接种。</w:t>
      </w:r>
    </w:p>
    <w:p w14:paraId="61E9C996">
      <w:pPr>
        <w:pStyle w:val="105"/>
        <w:spacing w:before="156" w:after="156"/>
        <w:rPr>
          <w:rFonts w:ascii="Times New Roman"/>
        </w:rPr>
      </w:pPr>
      <w:bookmarkStart w:id="67" w:name="_Toc168351082"/>
      <w:bookmarkStart w:id="68" w:name="_Toc168270698"/>
      <w:bookmarkStart w:id="69" w:name="_Toc1276"/>
      <w:bookmarkStart w:id="70" w:name="_Toc23401"/>
      <w:r>
        <w:rPr>
          <w:rFonts w:ascii="Times New Roman"/>
        </w:rPr>
        <w:t>鼻喷接种法</w:t>
      </w:r>
      <w:bookmarkEnd w:id="67"/>
      <w:bookmarkEnd w:id="68"/>
      <w:bookmarkEnd w:id="69"/>
      <w:bookmarkEnd w:id="70"/>
    </w:p>
    <w:p w14:paraId="60E76FA8">
      <w:pPr>
        <w:pStyle w:val="165"/>
        <w:rPr>
          <w:rFonts w:ascii="Times New Roman"/>
        </w:rPr>
      </w:pPr>
      <w:r>
        <w:rPr>
          <w:rFonts w:ascii="Times New Roman"/>
        </w:rPr>
        <w:t>疫苗有裂纹、标签不清、疫苗复溶后出现浑浊等外观异常者，均不可使用。</w:t>
      </w:r>
    </w:p>
    <w:p w14:paraId="29B37D03">
      <w:pPr>
        <w:pStyle w:val="165"/>
        <w:rPr>
          <w:rFonts w:ascii="Times New Roman"/>
        </w:rPr>
      </w:pPr>
      <w:r>
        <w:rPr>
          <w:rFonts w:ascii="Times New Roman"/>
        </w:rPr>
        <w:t>疫苗瓶开启后，应于30 min内用完，30 min未用完疫苗应废弃。</w:t>
      </w:r>
    </w:p>
    <w:p w14:paraId="65CFB507">
      <w:pPr>
        <w:pStyle w:val="165"/>
        <w:rPr>
          <w:rFonts w:ascii="Times New Roman"/>
        </w:rPr>
      </w:pPr>
      <w:r>
        <w:rPr>
          <w:rFonts w:ascii="Times New Roman"/>
        </w:rPr>
        <w:t>接种本疫苗48 h内，不宜使用任何其他鼻内给药制剂。</w:t>
      </w:r>
    </w:p>
    <w:p w14:paraId="6C60BEAF">
      <w:pPr>
        <w:pStyle w:val="104"/>
        <w:spacing w:before="312" w:after="312"/>
        <w:rPr>
          <w:rFonts w:ascii="Times New Roman"/>
        </w:rPr>
      </w:pPr>
      <w:bookmarkStart w:id="71" w:name="_Toc30917"/>
      <w:r>
        <w:rPr>
          <w:rFonts w:ascii="Times New Roman"/>
        </w:rPr>
        <w:t>疫苗接种操作</w:t>
      </w:r>
      <w:bookmarkEnd w:id="71"/>
    </w:p>
    <w:p w14:paraId="5680240D">
      <w:pPr>
        <w:pStyle w:val="105"/>
        <w:spacing w:before="156" w:after="156"/>
        <w:rPr>
          <w:rFonts w:ascii="Times New Roman"/>
        </w:rPr>
      </w:pPr>
      <w:bookmarkStart w:id="72" w:name="_Toc168270700"/>
      <w:bookmarkStart w:id="73" w:name="_Toc18945"/>
      <w:bookmarkStart w:id="74" w:name="_Toc13628"/>
      <w:bookmarkStart w:id="75" w:name="_Toc168351084"/>
      <w:bookmarkStart w:id="76" w:name="_Toc161667581"/>
      <w:r>
        <w:rPr>
          <w:rFonts w:ascii="Times New Roman"/>
        </w:rPr>
        <w:t>注射接种法</w:t>
      </w:r>
      <w:bookmarkEnd w:id="72"/>
      <w:bookmarkEnd w:id="73"/>
      <w:bookmarkEnd w:id="74"/>
      <w:bookmarkEnd w:id="75"/>
    </w:p>
    <w:p w14:paraId="0CF3F6E5">
      <w:pPr>
        <w:pStyle w:val="65"/>
        <w:spacing w:before="156" w:after="156"/>
      </w:pPr>
      <w:r>
        <w:t>皮内注射法</w:t>
      </w:r>
      <w:bookmarkEnd w:id="76"/>
    </w:p>
    <w:p w14:paraId="06535F73">
      <w:pPr>
        <w:pStyle w:val="164"/>
      </w:pPr>
      <w:r>
        <w:t>适用疫苗：卡介苗等。</w:t>
      </w:r>
    </w:p>
    <w:p w14:paraId="4781715B">
      <w:pPr>
        <w:pStyle w:val="164"/>
      </w:pPr>
      <w:r>
        <w:t>接种部位：上臂外侧三角肌中部略下处。</w:t>
      </w:r>
    </w:p>
    <w:p w14:paraId="4BE67AD6">
      <w:pPr>
        <w:pStyle w:val="164"/>
      </w:pPr>
      <w:r>
        <w:t>操作方法：</w:t>
      </w:r>
    </w:p>
    <w:p w14:paraId="64034838">
      <w:pPr>
        <w:pStyle w:val="174"/>
        <w:rPr>
          <w:rFonts w:ascii="Times New Roman"/>
        </w:rPr>
      </w:pPr>
      <w:r>
        <w:rPr>
          <w:rFonts w:ascii="Times New Roman"/>
        </w:rPr>
        <w:t>固定受种者，露出受种者接种部位。</w:t>
      </w:r>
    </w:p>
    <w:p w14:paraId="6CF67C6F">
      <w:pPr>
        <w:pStyle w:val="174"/>
        <w:rPr>
          <w:rFonts w:ascii="Times New Roman"/>
        </w:rPr>
      </w:pPr>
      <w:r>
        <w:rPr>
          <w:rFonts w:ascii="Times New Roman"/>
        </w:rPr>
        <w:t>可用配有4号～4.5号针头的1 m</w:t>
      </w:r>
      <w:r>
        <w:rPr>
          <w:rFonts w:hint="eastAsia" w:ascii="Times New Roman"/>
        </w:rPr>
        <w:t>L</w:t>
      </w:r>
      <w:r>
        <w:rPr>
          <w:rFonts w:ascii="Times New Roman"/>
        </w:rPr>
        <w:t>一次性蓝芯注射器或0.1 m</w:t>
      </w:r>
      <w:r>
        <w:rPr>
          <w:rFonts w:hint="eastAsia" w:ascii="Times New Roman"/>
        </w:rPr>
        <w:t>L</w:t>
      </w:r>
      <w:r>
        <w:rPr>
          <w:rFonts w:ascii="Times New Roman"/>
        </w:rPr>
        <w:t>自毁型注射器吸取1人份疫苗，排尽空气。</w:t>
      </w:r>
    </w:p>
    <w:p w14:paraId="4710A456">
      <w:pPr>
        <w:pStyle w:val="174"/>
        <w:rPr>
          <w:rFonts w:ascii="Times New Roman"/>
        </w:rPr>
      </w:pPr>
      <w:r>
        <w:rPr>
          <w:rFonts w:ascii="Times New Roman"/>
        </w:rPr>
        <w:t>用75%乙醇棉球消毒皮肤，待晾干后，用左手绷紧注射部位皮肤，右手以平执式持注射器，食指固定针管，针头斜面向上，与皮肤呈5°～10°角刺入皮内。用左手拇指固定针栓，避免接触针头部分，然后注入疫苗，使注射部位形成一个圆形隆起的皮丘，皮肤变白，毛孔变大。</w:t>
      </w:r>
    </w:p>
    <w:p w14:paraId="647D5460">
      <w:pPr>
        <w:pStyle w:val="174"/>
        <w:rPr>
          <w:rFonts w:ascii="Times New Roman"/>
        </w:rPr>
      </w:pPr>
      <w:r>
        <w:rPr>
          <w:rFonts w:ascii="Times New Roman"/>
        </w:rPr>
        <w:t>注射完毕，针管顺时针方向旋转180°角后，迅速拔出针头。</w:t>
      </w:r>
    </w:p>
    <w:p w14:paraId="371ADE9C">
      <w:pPr>
        <w:pStyle w:val="174"/>
        <w:rPr>
          <w:rFonts w:ascii="Times New Roman" w:eastAsia="黑体"/>
        </w:rPr>
      </w:pPr>
      <w:r>
        <w:rPr>
          <w:rFonts w:ascii="Times New Roman"/>
        </w:rPr>
        <w:t>卡介苗注射完毕，勿用乙醇棉球或干棉球按摩注射部位。</w:t>
      </w:r>
    </w:p>
    <w:p w14:paraId="1CDAEA8E">
      <w:pPr>
        <w:pStyle w:val="65"/>
        <w:spacing w:before="156" w:after="156"/>
      </w:pPr>
      <w:bookmarkStart w:id="77" w:name="_Toc161667582"/>
      <w:r>
        <w:t>皮下注射法</w:t>
      </w:r>
      <w:bookmarkEnd w:id="77"/>
    </w:p>
    <w:p w14:paraId="156501EF">
      <w:pPr>
        <w:pStyle w:val="164"/>
      </w:pPr>
      <w:r>
        <w:t>适用疫苗：麻腮风疫苗、乙脑减毒活疫苗、A 群流脑多糖疫苗、A群C群流脑多糖疫苗、甲肝减毒活疫苗、钩体疫苗等免疫规划疫苗和相关非免疫规划疫苗。</w:t>
      </w:r>
    </w:p>
    <w:p w14:paraId="5F07F814">
      <w:pPr>
        <w:pStyle w:val="164"/>
      </w:pPr>
      <w:r>
        <w:t>接种部位：上臂外侧三角肌下缘附着处。</w:t>
      </w:r>
    </w:p>
    <w:p w14:paraId="4FC4F154">
      <w:pPr>
        <w:pStyle w:val="164"/>
      </w:pPr>
      <w:r>
        <w:t>操作方法：</w:t>
      </w:r>
    </w:p>
    <w:p w14:paraId="516B0A17">
      <w:pPr>
        <w:pStyle w:val="174"/>
        <w:numPr>
          <w:ilvl w:val="0"/>
          <w:numId w:val="32"/>
        </w:numPr>
        <w:rPr>
          <w:rFonts w:ascii="Times New Roman" w:eastAsia="黑体"/>
        </w:rPr>
      </w:pPr>
      <w:r>
        <w:rPr>
          <w:rFonts w:ascii="Times New Roman"/>
        </w:rPr>
        <w:t>固定受种者，露出受种者接种部位。</w:t>
      </w:r>
    </w:p>
    <w:p w14:paraId="126F07C0">
      <w:pPr>
        <w:pStyle w:val="174"/>
        <w:rPr>
          <w:rFonts w:ascii="Times New Roman" w:eastAsia="黑体"/>
        </w:rPr>
      </w:pPr>
      <w:r>
        <w:rPr>
          <w:rFonts w:ascii="Times New Roman"/>
        </w:rPr>
        <w:t>用相应规格注射器吸取1人份疫苗后，排尽注射器内空气。</w:t>
      </w:r>
    </w:p>
    <w:p w14:paraId="4888F9BC">
      <w:pPr>
        <w:pStyle w:val="174"/>
        <w:rPr>
          <w:rFonts w:ascii="Times New Roman"/>
        </w:rPr>
      </w:pPr>
      <w:r>
        <w:rPr>
          <w:rFonts w:ascii="Times New Roman"/>
        </w:rPr>
        <w:t>用75%乙醇棉球消毒皮肤，左手绷紧注射部位皮肤，右手持注射器，针头斜面向上，与皮肤呈30°～40°角，快速刺入皮下，进针深度约1/2～2/3，松左手，固定针管，缓慢推注疫苗。</w:t>
      </w:r>
    </w:p>
    <w:p w14:paraId="49E188D9">
      <w:pPr>
        <w:pStyle w:val="174"/>
        <w:rPr>
          <w:rFonts w:ascii="Times New Roman"/>
        </w:rPr>
      </w:pPr>
      <w:r>
        <w:rPr>
          <w:rFonts w:ascii="Times New Roman"/>
        </w:rPr>
        <w:t>注射完毕后用消毒干棉球或干棉签轻压针刺处，快速拔出针头。</w:t>
      </w:r>
    </w:p>
    <w:p w14:paraId="6C4BC7B8">
      <w:pPr>
        <w:pStyle w:val="174"/>
        <w:rPr>
          <w:rFonts w:ascii="Times New Roman"/>
        </w:rPr>
      </w:pPr>
      <w:r>
        <w:rPr>
          <w:rFonts w:ascii="Times New Roman"/>
        </w:rPr>
        <w:t>儿童注射体位：儿童监护人抱紧儿童，露出儿童上臂。如在儿童右上臂接种，儿童监护人取坐位，儿童坐于监护人腿上。儿童监护人右臂抱紧儿童，使儿童头部靠在儿童监护人右肩部。儿童监护人将儿童左臂置于儿童监护人身后，用双腿固定儿童双腿，左手握住儿童右手，防止在接种过程中乱动。大年龄儿童可取坐位或立位，注射侧的手叉腰。</w:t>
      </w:r>
    </w:p>
    <w:p w14:paraId="3239C459">
      <w:pPr>
        <w:pStyle w:val="65"/>
        <w:spacing w:before="156" w:after="156"/>
      </w:pPr>
      <w:bookmarkStart w:id="78" w:name="_Toc161667583"/>
      <w:r>
        <w:t>肌内注射法</w:t>
      </w:r>
      <w:bookmarkEnd w:id="78"/>
    </w:p>
    <w:p w14:paraId="6D2E5063">
      <w:pPr>
        <w:pStyle w:val="164"/>
        <w:rPr>
          <w:rFonts w:ascii="Times New Roman"/>
        </w:rPr>
      </w:pPr>
      <w:r>
        <w:rPr>
          <w:rFonts w:ascii="Times New Roman"/>
        </w:rPr>
        <w:t>适用疫苗：百白破疫苗、白破疫苗、乙肝疫苗、乙脑灭活疫苗、脊灰灭活疫苗、甲肝灭活疫苗、出血热疫苗等免疫规划疫苗和相关非免疫规划疫苗。</w:t>
      </w:r>
    </w:p>
    <w:p w14:paraId="24CEDFCD">
      <w:pPr>
        <w:pStyle w:val="164"/>
        <w:rPr>
          <w:rFonts w:ascii="Times New Roman"/>
        </w:rPr>
      </w:pPr>
      <w:r>
        <w:rPr>
          <w:rFonts w:ascii="Times New Roman"/>
        </w:rPr>
        <w:t>接种部位：上臂外侧三角肌中部（上臂外侧，肩峰下2～3横指，膨大隆起处）、大腿前外侧中部肌肉。最常用为上臂外侧三角肌中部。</w:t>
      </w:r>
    </w:p>
    <w:p w14:paraId="2F6C7C70">
      <w:pPr>
        <w:pStyle w:val="164"/>
        <w:rPr>
          <w:rFonts w:ascii="Times New Roman"/>
        </w:rPr>
      </w:pPr>
      <w:r>
        <w:rPr>
          <w:rFonts w:ascii="Times New Roman"/>
        </w:rPr>
        <w:t>操作方法：</w:t>
      </w:r>
    </w:p>
    <w:p w14:paraId="6FEE9AAB">
      <w:pPr>
        <w:pStyle w:val="174"/>
        <w:numPr>
          <w:ilvl w:val="0"/>
          <w:numId w:val="33"/>
        </w:numPr>
        <w:rPr>
          <w:rFonts w:ascii="Times New Roman"/>
        </w:rPr>
      </w:pPr>
      <w:r>
        <w:rPr>
          <w:rFonts w:ascii="Times New Roman"/>
        </w:rPr>
        <w:t>固定受种者，露出受种者接种部位。</w:t>
      </w:r>
    </w:p>
    <w:p w14:paraId="2FB084FD">
      <w:pPr>
        <w:pStyle w:val="174"/>
        <w:rPr>
          <w:rFonts w:ascii="Times New Roman"/>
        </w:rPr>
      </w:pPr>
      <w:r>
        <w:rPr>
          <w:rFonts w:ascii="Times New Roman"/>
        </w:rPr>
        <w:t>用相应规格注射器吸取1人份疫苗，排尽注射器内空气。</w:t>
      </w:r>
    </w:p>
    <w:p w14:paraId="21EAA2EC">
      <w:pPr>
        <w:pStyle w:val="174"/>
        <w:numPr>
          <w:ilvl w:val="0"/>
          <w:numId w:val="34"/>
        </w:numPr>
        <w:rPr>
          <w:rFonts w:ascii="Times New Roman" w:eastAsia="黑体"/>
        </w:rPr>
      </w:pPr>
      <w:r>
        <w:rPr>
          <w:rFonts w:ascii="Times New Roman"/>
        </w:rPr>
        <w:t>用75%乙醇棉球消毒皮肤，左手将注射肌肉部位绷紧，右手持注射器，与皮肤呈90°角，用前臂带动腕部力量，将针头快速垂直刺入肌肉，进针深度约为针头的2/3，松左手，固定针管，缓慢推注疫苗。注意勿将针头全部刺入。</w:t>
      </w:r>
    </w:p>
    <w:p w14:paraId="4178F660">
      <w:pPr>
        <w:pStyle w:val="174"/>
        <w:rPr>
          <w:rFonts w:ascii="Times New Roman" w:eastAsia="黑体"/>
        </w:rPr>
      </w:pPr>
      <w:r>
        <w:rPr>
          <w:rFonts w:ascii="Times New Roman"/>
        </w:rPr>
        <w:t>注射完毕后用消毒干棉球或干棉签轻压针刺处，快速拔出针头，观察有无渗血或疫苗液渗出，如有渗出，应将消毒干棉球或干棉签按压片刻。</w:t>
      </w:r>
    </w:p>
    <w:p w14:paraId="58909505">
      <w:pPr>
        <w:pStyle w:val="174"/>
        <w:rPr>
          <w:rFonts w:ascii="Times New Roman" w:eastAsia="黑体"/>
        </w:rPr>
      </w:pPr>
      <w:r>
        <w:rPr>
          <w:rFonts w:ascii="Times New Roman"/>
        </w:rPr>
        <w:t>儿童接种体位注意事项：</w:t>
      </w:r>
    </w:p>
    <w:p w14:paraId="3DB1B9FB">
      <w:pPr>
        <w:pStyle w:val="109"/>
        <w:rPr>
          <w:rFonts w:ascii="Times New Roman"/>
        </w:rPr>
      </w:pPr>
      <w:r>
        <w:rPr>
          <w:rFonts w:ascii="Times New Roman"/>
        </w:rPr>
        <w:t>上臂外侧三角肌肌内注射体位：同5.1.2儿童注射体位。</w:t>
      </w:r>
    </w:p>
    <w:p w14:paraId="6638B1DD">
      <w:pPr>
        <w:pStyle w:val="109"/>
        <w:rPr>
          <w:rFonts w:ascii="Times New Roman"/>
        </w:rPr>
      </w:pPr>
      <w:r>
        <w:rPr>
          <w:rFonts w:ascii="Times New Roman"/>
        </w:rPr>
        <w:t>大腿前外侧肌肌内注射体位：如在儿童右大腿接种，儿童监护人取坐位，儿童坐于其右腿上。儿童监护人用大腿夹住孩子的小腿和脚，右臂环抱儿童后背，使儿童头部靠在儿童监护人右胸前。儿童监护人将儿童左臂掖在儿童监护人身后，用左手握住儿童右臂，防止在接种过程中乱动。</w:t>
      </w:r>
    </w:p>
    <w:p w14:paraId="280C69C4">
      <w:pPr>
        <w:pStyle w:val="105"/>
        <w:spacing w:before="156" w:after="156"/>
        <w:rPr>
          <w:rFonts w:ascii="Times New Roman"/>
        </w:rPr>
      </w:pPr>
      <w:bookmarkStart w:id="79" w:name="_Toc161667584"/>
      <w:bookmarkStart w:id="80" w:name="_Toc168270701"/>
      <w:bookmarkStart w:id="81" w:name="_Toc9830"/>
      <w:bookmarkStart w:id="82" w:name="_Toc168351085"/>
      <w:r>
        <w:rPr>
          <w:rFonts w:ascii="Times New Roman"/>
        </w:rPr>
        <w:t>口服接种法</w:t>
      </w:r>
      <w:bookmarkEnd w:id="79"/>
      <w:bookmarkEnd w:id="80"/>
      <w:bookmarkEnd w:id="81"/>
      <w:bookmarkEnd w:id="82"/>
    </w:p>
    <w:p w14:paraId="7F424F0E">
      <w:pPr>
        <w:pStyle w:val="224"/>
        <w:ind w:left="420" w:hanging="420" w:hangingChars="200"/>
        <w:rPr>
          <w:rFonts w:ascii="Times New Roman"/>
        </w:rPr>
      </w:pPr>
      <w:r>
        <w:rPr>
          <w:rFonts w:ascii="Times New Roman"/>
        </w:rPr>
        <w:t>适用疫苗：口服I型III型脊髓灰质炎减毒活疫苗、口服轮状病毒活疫苗、口服三价重配轮状病毒减毒活疫苗、口服五价重配轮状病毒减毒活疫苗等。</w:t>
      </w:r>
    </w:p>
    <w:p w14:paraId="2DDFB789">
      <w:pPr>
        <w:pStyle w:val="224"/>
        <w:ind w:left="420" w:hanging="420" w:hangingChars="200"/>
        <w:rPr>
          <w:rFonts w:ascii="Times New Roman"/>
        </w:rPr>
      </w:pPr>
      <w:r>
        <w:rPr>
          <w:rFonts w:ascii="Times New Roman"/>
        </w:rPr>
        <w:t>操作方法：</w:t>
      </w:r>
    </w:p>
    <w:p w14:paraId="7A90C886">
      <w:pPr>
        <w:pStyle w:val="174"/>
        <w:numPr>
          <w:ilvl w:val="0"/>
          <w:numId w:val="35"/>
        </w:numPr>
        <w:rPr>
          <w:rFonts w:ascii="Times New Roman" w:eastAsia="黑体"/>
        </w:rPr>
      </w:pPr>
      <w:r>
        <w:rPr>
          <w:rFonts w:ascii="Times New Roman"/>
        </w:rPr>
        <w:t>口服I型III型脊髓灰质炎减毒活疫苗：从冰箱取出放置室温复溶，待完全溶化、充分摇匀后，以垂直90°角或倾斜45°角将规定剂量疫苗滴入儿童口中。</w:t>
      </w:r>
    </w:p>
    <w:p w14:paraId="1F69C101">
      <w:pPr>
        <w:pStyle w:val="174"/>
        <w:numPr>
          <w:ilvl w:val="0"/>
          <w:numId w:val="35"/>
        </w:numPr>
        <w:rPr>
          <w:rFonts w:ascii="Times New Roman"/>
        </w:rPr>
      </w:pPr>
      <w:r>
        <w:rPr>
          <w:rFonts w:ascii="Times New Roman"/>
        </w:rPr>
        <w:t>口服轮状病毒活疫苗：按无菌操作开启瓶盖，用吸管吸取</w:t>
      </w:r>
      <w:r>
        <w:rPr>
          <w:rFonts w:hint="eastAsia" w:ascii="Times New Roman"/>
        </w:rPr>
        <w:t>规定剂量</w:t>
      </w:r>
      <w:r>
        <w:rPr>
          <w:rFonts w:ascii="Times New Roman"/>
        </w:rPr>
        <w:t>疫苗，直接喂于婴幼儿。</w:t>
      </w:r>
    </w:p>
    <w:p w14:paraId="371E14D0">
      <w:pPr>
        <w:pStyle w:val="174"/>
        <w:numPr>
          <w:ilvl w:val="0"/>
          <w:numId w:val="35"/>
        </w:numPr>
        <w:rPr>
          <w:rFonts w:ascii="Times New Roman"/>
        </w:rPr>
      </w:pPr>
      <w:r>
        <w:rPr>
          <w:rFonts w:ascii="Times New Roman"/>
        </w:rPr>
        <w:t>口服三价重配轮状病毒减毒活疫苗：按照西林瓶铝塑组合盖上的三角标识，打开西林瓶铝塑组合盖。取出西林瓶卤化药用丁基橡胶塞，避免液体外漏。将配套滴管取出，通过挤压方式直接将滴管套在西林瓶瓶口，将西林瓶中液体倒入滴管，取下滴管保护头。一手托住婴儿头部，一手将滴管放于婴儿嘴角，经挤压将本疫苗顺着婴儿侧咽颊喂入婴儿口中。</w:t>
      </w:r>
    </w:p>
    <w:p w14:paraId="1811340D">
      <w:pPr>
        <w:pStyle w:val="174"/>
        <w:numPr>
          <w:ilvl w:val="0"/>
          <w:numId w:val="35"/>
        </w:numPr>
        <w:rPr>
          <w:rFonts w:ascii="Times New Roman"/>
        </w:rPr>
      </w:pPr>
      <w:r>
        <w:rPr>
          <w:rFonts w:ascii="Times New Roman"/>
        </w:rPr>
        <w:t>口服五价重配轮状病毒减毒活疫苗：撕开小袋，取出疫苗液管。垂直拿住软管，轻弹管帽，将液体从管口前端弹下。顺时针旋转管帽直到拧紧，以刺破软管口。逆时针旋转管帽将之取下，轻轻将液体向婴儿嘴里内颊部挤压，直到挤空软管。</w:t>
      </w:r>
    </w:p>
    <w:p w14:paraId="67068AF2">
      <w:pPr>
        <w:pStyle w:val="105"/>
        <w:spacing w:before="156" w:after="156"/>
        <w:rPr>
          <w:rFonts w:ascii="Times New Roman"/>
        </w:rPr>
      </w:pPr>
      <w:bookmarkStart w:id="83" w:name="_Toc168351086"/>
      <w:bookmarkStart w:id="84" w:name="_Toc29357"/>
      <w:bookmarkStart w:id="85" w:name="_Toc168270702"/>
      <w:bookmarkStart w:id="86" w:name="_Toc161667585"/>
      <w:r>
        <w:rPr>
          <w:rFonts w:ascii="Times New Roman"/>
        </w:rPr>
        <w:t>皮上划痕法</w:t>
      </w:r>
      <w:bookmarkEnd w:id="83"/>
      <w:bookmarkEnd w:id="84"/>
      <w:bookmarkEnd w:id="85"/>
      <w:bookmarkEnd w:id="86"/>
    </w:p>
    <w:p w14:paraId="010D56E9">
      <w:pPr>
        <w:pStyle w:val="224"/>
        <w:ind w:left="420" w:hanging="420" w:hangingChars="200"/>
        <w:rPr>
          <w:rFonts w:ascii="Times New Roman"/>
        </w:rPr>
      </w:pPr>
      <w:r>
        <w:rPr>
          <w:rFonts w:ascii="Times New Roman"/>
        </w:rPr>
        <w:t>适用疫苗：炭疽活疫苗等。</w:t>
      </w:r>
    </w:p>
    <w:p w14:paraId="77CBD8D2">
      <w:pPr>
        <w:pStyle w:val="224"/>
        <w:ind w:left="420" w:hanging="420" w:hangingChars="200"/>
        <w:rPr>
          <w:rFonts w:ascii="Times New Roman"/>
        </w:rPr>
      </w:pPr>
      <w:r>
        <w:rPr>
          <w:rFonts w:ascii="Times New Roman"/>
        </w:rPr>
        <w:t>接种部位：上臂外侧三角肌皮肤。</w:t>
      </w:r>
    </w:p>
    <w:p w14:paraId="6249E8A0">
      <w:pPr>
        <w:pStyle w:val="224"/>
        <w:ind w:left="420" w:hanging="420" w:hangingChars="200"/>
        <w:rPr>
          <w:rFonts w:ascii="Times New Roman"/>
        </w:rPr>
      </w:pPr>
      <w:r>
        <w:rPr>
          <w:rFonts w:ascii="Times New Roman"/>
        </w:rPr>
        <w:t>操作方法：</w:t>
      </w:r>
    </w:p>
    <w:p w14:paraId="486E1C90">
      <w:pPr>
        <w:pStyle w:val="174"/>
        <w:numPr>
          <w:ilvl w:val="0"/>
          <w:numId w:val="36"/>
        </w:numPr>
        <w:rPr>
          <w:rFonts w:ascii="Times New Roman"/>
        </w:rPr>
      </w:pPr>
      <w:r>
        <w:rPr>
          <w:rFonts w:ascii="Times New Roman"/>
        </w:rPr>
        <w:t>将安瓿瓶中疫苗悬液充分摇匀。</w:t>
      </w:r>
    </w:p>
    <w:p w14:paraId="434AA35E">
      <w:pPr>
        <w:pStyle w:val="174"/>
        <w:numPr>
          <w:ilvl w:val="0"/>
          <w:numId w:val="36"/>
        </w:numPr>
        <w:rPr>
          <w:rFonts w:ascii="Times New Roman"/>
        </w:rPr>
      </w:pPr>
      <w:r>
        <w:rPr>
          <w:rFonts w:ascii="Times New Roman"/>
        </w:rPr>
        <w:t>按无菌操作开启安瓿，用灭菌注射器吸取疫苗备用。</w:t>
      </w:r>
    </w:p>
    <w:p w14:paraId="216A2BEF">
      <w:pPr>
        <w:pStyle w:val="174"/>
        <w:numPr>
          <w:ilvl w:val="0"/>
          <w:numId w:val="36"/>
        </w:numPr>
        <w:rPr>
          <w:rFonts w:ascii="Times New Roman"/>
        </w:rPr>
      </w:pPr>
      <w:r>
        <w:rPr>
          <w:rFonts w:ascii="Times New Roman"/>
        </w:rPr>
        <w:t>用灭菌镊子夹取75%乙醇棉球，由内向外螺旋式对接种部位皮肤进行消毒，涂擦直径≥5 cm。</w:t>
      </w:r>
    </w:p>
    <w:p w14:paraId="0124410D">
      <w:pPr>
        <w:pStyle w:val="174"/>
        <w:numPr>
          <w:ilvl w:val="0"/>
          <w:numId w:val="36"/>
        </w:numPr>
        <w:rPr>
          <w:rFonts w:ascii="Times New Roman"/>
        </w:rPr>
      </w:pPr>
      <w:r>
        <w:rPr>
          <w:rFonts w:ascii="Times New Roman"/>
        </w:rPr>
        <w:t>待晾干后于消毒部位滴疫苗2滴，相距3 cm～4 cm。</w:t>
      </w:r>
    </w:p>
    <w:p w14:paraId="66E03F4D">
      <w:pPr>
        <w:pStyle w:val="174"/>
        <w:numPr>
          <w:ilvl w:val="0"/>
          <w:numId w:val="36"/>
        </w:numPr>
        <w:rPr>
          <w:rFonts w:ascii="Times New Roman"/>
        </w:rPr>
      </w:pPr>
      <w:r>
        <w:rPr>
          <w:rFonts w:ascii="Times New Roman"/>
        </w:rPr>
        <w:t>一手将皮肤绷紧，另一手持消毒划痕针在每滴疫苗处作"井"字划痕，每条痕长约1 cm～1.5 cm，以划破表皮微见间断小血点为度。</w:t>
      </w:r>
    </w:p>
    <w:p w14:paraId="43E953ED">
      <w:pPr>
        <w:pStyle w:val="174"/>
        <w:numPr>
          <w:ilvl w:val="0"/>
          <w:numId w:val="36"/>
        </w:numPr>
        <w:rPr>
          <w:rFonts w:ascii="Times New Roman"/>
        </w:rPr>
      </w:pPr>
      <w:r>
        <w:rPr>
          <w:rFonts w:ascii="Times New Roman"/>
        </w:rPr>
        <w:t>再用同一划痕针涂压10余次，使疫苗充分进入划痕皮肤。</w:t>
      </w:r>
    </w:p>
    <w:p w14:paraId="69458010">
      <w:pPr>
        <w:pStyle w:val="174"/>
        <w:numPr>
          <w:ilvl w:val="0"/>
          <w:numId w:val="36"/>
        </w:numPr>
        <w:rPr>
          <w:rFonts w:ascii="Times New Roman"/>
        </w:rPr>
      </w:pPr>
      <w:r>
        <w:rPr>
          <w:rFonts w:ascii="Times New Roman"/>
        </w:rPr>
        <w:t>接种后局部应裸露5 min～10 min，然后用消毒干棉球擦净。</w:t>
      </w:r>
    </w:p>
    <w:p w14:paraId="2A4EE544">
      <w:pPr>
        <w:pStyle w:val="105"/>
        <w:spacing w:before="156" w:after="156"/>
        <w:rPr>
          <w:rFonts w:ascii="Times New Roman"/>
        </w:rPr>
      </w:pPr>
      <w:bookmarkStart w:id="87" w:name="_Toc13365"/>
      <w:bookmarkStart w:id="88" w:name="_Toc161667586"/>
      <w:bookmarkStart w:id="89" w:name="_Toc168351087"/>
      <w:bookmarkStart w:id="90" w:name="_Toc168270703"/>
      <w:r>
        <w:rPr>
          <w:rFonts w:ascii="Times New Roman"/>
        </w:rPr>
        <w:t>鼻喷接种法</w:t>
      </w:r>
      <w:bookmarkEnd w:id="87"/>
      <w:bookmarkEnd w:id="88"/>
      <w:bookmarkEnd w:id="89"/>
      <w:bookmarkEnd w:id="90"/>
    </w:p>
    <w:p w14:paraId="2FBE3A6B">
      <w:pPr>
        <w:pStyle w:val="224"/>
        <w:ind w:left="420" w:hanging="420" w:hangingChars="200"/>
        <w:rPr>
          <w:rFonts w:ascii="Times New Roman"/>
        </w:rPr>
      </w:pPr>
      <w:r>
        <w:rPr>
          <w:rFonts w:ascii="Times New Roman"/>
        </w:rPr>
        <w:t>适用疫苗：鼻喷流感减毒活疫苗等。</w:t>
      </w:r>
    </w:p>
    <w:p w14:paraId="2FD3F71C">
      <w:pPr>
        <w:pStyle w:val="224"/>
        <w:ind w:left="420" w:hanging="420" w:hangingChars="200"/>
        <w:rPr>
          <w:rFonts w:ascii="Times New Roman"/>
        </w:rPr>
      </w:pPr>
      <w:r>
        <w:rPr>
          <w:rFonts w:ascii="Times New Roman"/>
        </w:rPr>
        <w:t>操作方法：</w:t>
      </w:r>
    </w:p>
    <w:p w14:paraId="71BBB7A6">
      <w:pPr>
        <w:pStyle w:val="174"/>
        <w:numPr>
          <w:ilvl w:val="0"/>
          <w:numId w:val="37"/>
        </w:numPr>
        <w:rPr>
          <w:rFonts w:ascii="Times New Roman"/>
        </w:rPr>
      </w:pPr>
      <w:r>
        <w:rPr>
          <w:rFonts w:ascii="Times New Roman"/>
        </w:rPr>
        <w:t>按说明书标示量加入疫苗稀释剂，待疫苗溶解并摇匀后使用。</w:t>
      </w:r>
    </w:p>
    <w:p w14:paraId="49814A46">
      <w:pPr>
        <w:pStyle w:val="174"/>
        <w:numPr>
          <w:ilvl w:val="0"/>
          <w:numId w:val="37"/>
        </w:numPr>
        <w:rPr>
          <w:rFonts w:ascii="Times New Roman" w:eastAsia="黑体"/>
        </w:rPr>
      </w:pPr>
      <w:r>
        <w:rPr>
          <w:rFonts w:ascii="Times New Roman"/>
        </w:rPr>
        <w:t>用注射器抽取</w:t>
      </w:r>
      <w:r>
        <w:rPr>
          <w:rFonts w:hint="eastAsia" w:ascii="Times New Roman"/>
        </w:rPr>
        <w:t>规定剂量</w:t>
      </w:r>
      <w:r>
        <w:rPr>
          <w:rFonts w:ascii="Times New Roman"/>
        </w:rPr>
        <w:t>复溶疫苗，取下针头，安装鼻喷装置。</w:t>
      </w:r>
    </w:p>
    <w:p w14:paraId="000B39B9">
      <w:pPr>
        <w:pStyle w:val="174"/>
        <w:numPr>
          <w:ilvl w:val="0"/>
          <w:numId w:val="37"/>
        </w:numPr>
        <w:rPr>
          <w:rFonts w:ascii="Times New Roman" w:eastAsia="黑体"/>
        </w:rPr>
      </w:pPr>
      <w:r>
        <w:rPr>
          <w:rFonts w:ascii="Times New Roman"/>
        </w:rPr>
        <w:t>受种者采取头部向后仰的坐姿，将鼻喷装置放置受种者鼻内约0.5 cm处喷雾接种，每侧鼻孔内喷</w:t>
      </w:r>
      <w:r>
        <w:rPr>
          <w:rFonts w:hint="eastAsia" w:ascii="Times New Roman"/>
        </w:rPr>
        <w:t>入规定剂量疫苗</w:t>
      </w:r>
      <w:r>
        <w:rPr>
          <w:rFonts w:ascii="Times New Roman"/>
        </w:rPr>
        <w:t>。</w:t>
      </w:r>
    </w:p>
    <w:p w14:paraId="49B21CF6">
      <w:pPr>
        <w:pStyle w:val="174"/>
        <w:numPr>
          <w:ilvl w:val="0"/>
          <w:numId w:val="37"/>
        </w:numPr>
        <w:rPr>
          <w:rFonts w:ascii="Times New Roman"/>
        </w:rPr>
      </w:pPr>
      <w:r>
        <w:rPr>
          <w:rFonts w:ascii="Times New Roman"/>
        </w:rPr>
        <w:t>接种后，受种者应头部向后仰坐至少1 min。</w:t>
      </w:r>
    </w:p>
    <w:bookmarkEnd w:id="26"/>
    <w:p w14:paraId="686D8823">
      <w:pPr>
        <w:pStyle w:val="165"/>
        <w:rPr>
          <w:rFonts w:ascii="Times New Roman"/>
        </w:rPr>
        <w:sectPr>
          <w:pgSz w:w="11906" w:h="16838"/>
          <w:pgMar w:top="1928" w:right="1134" w:bottom="1134" w:left="1134" w:header="1418" w:footer="1134" w:gutter="284"/>
          <w:pgNumType w:start="1"/>
          <w:cols w:space="425" w:num="1"/>
          <w:formProt w:val="0"/>
          <w:docGrid w:type="lines" w:linePitch="312" w:charSpace="0"/>
        </w:sectPr>
      </w:pPr>
      <w:bookmarkStart w:id="91" w:name="BookMark6"/>
    </w:p>
    <w:p w14:paraId="1ECC30CE">
      <w:pPr>
        <w:pStyle w:val="63"/>
        <w:spacing w:after="156"/>
        <w:rPr>
          <w:rFonts w:ascii="Times New Roman" w:hAnsi="Times New Roman"/>
        </w:rPr>
      </w:pPr>
      <w:bookmarkStart w:id="92" w:name="_Toc11121"/>
      <w:r>
        <w:rPr>
          <w:rFonts w:ascii="Times New Roman" w:hAnsi="Times New Roman"/>
          <w:spacing w:val="105"/>
        </w:rPr>
        <w:t>参考文</w:t>
      </w:r>
      <w:r>
        <w:rPr>
          <w:rFonts w:ascii="Times New Roman" w:hAnsi="Times New Roman"/>
        </w:rPr>
        <w:t>献</w:t>
      </w:r>
      <w:bookmarkEnd w:id="92"/>
    </w:p>
    <w:p w14:paraId="1A7907B6">
      <w:pPr>
        <w:pStyle w:val="56"/>
        <w:ind w:firstLine="420"/>
        <w:rPr>
          <w:rFonts w:ascii="Times New Roman"/>
        </w:rPr>
      </w:pPr>
      <w:r>
        <w:rPr>
          <w:rFonts w:ascii="Times New Roman"/>
        </w:rPr>
        <w:t>[1]</w:t>
      </w:r>
      <w:r>
        <w:rPr>
          <w:rFonts w:hint="eastAsia" w:ascii="Times New Roman"/>
        </w:rPr>
        <w:t xml:space="preserve"> </w:t>
      </w:r>
      <w:r>
        <w:rPr>
          <w:rFonts w:ascii="Times New Roman"/>
        </w:rPr>
        <w:t>中华人民共和国传染病防治法（中华人民共和国主席令第17号）</w:t>
      </w:r>
    </w:p>
    <w:p w14:paraId="30297F6D">
      <w:pPr>
        <w:pStyle w:val="56"/>
        <w:ind w:firstLine="420"/>
        <w:rPr>
          <w:rFonts w:ascii="Times New Roman"/>
        </w:rPr>
      </w:pPr>
      <w:r>
        <w:rPr>
          <w:rFonts w:ascii="Times New Roman"/>
        </w:rPr>
        <w:t>[2]</w:t>
      </w:r>
      <w:r>
        <w:rPr>
          <w:rFonts w:hint="eastAsia" w:ascii="Times New Roman"/>
        </w:rPr>
        <w:t xml:space="preserve"> </w:t>
      </w:r>
      <w:r>
        <w:rPr>
          <w:rFonts w:ascii="Times New Roman"/>
        </w:rPr>
        <w:t>中华人民共和国疫苗管理法（中华人民共和国主席令第30号）</w:t>
      </w:r>
    </w:p>
    <w:p w14:paraId="430A35D0">
      <w:pPr>
        <w:pStyle w:val="56"/>
        <w:ind w:firstLine="420"/>
        <w:rPr>
          <w:rFonts w:ascii="Times New Roman"/>
        </w:rPr>
      </w:pPr>
      <w:r>
        <w:rPr>
          <w:rFonts w:ascii="Times New Roman"/>
        </w:rPr>
        <w:t>[3]</w:t>
      </w:r>
      <w:r>
        <w:rPr>
          <w:rFonts w:hint="eastAsia" w:ascii="Times New Roman"/>
        </w:rPr>
        <w:t xml:space="preserve"> </w:t>
      </w:r>
      <w:r>
        <w:rPr>
          <w:rFonts w:ascii="Times New Roman"/>
        </w:rPr>
        <w:t>预防接种工作规范（2023年版）（国疾控综卫免发〔2023〕17号）</w:t>
      </w:r>
      <w:bookmarkEnd w:id="91"/>
    </w:p>
    <w:p w14:paraId="79BF55C2">
      <w:pPr>
        <w:pStyle w:val="56"/>
        <w:ind w:firstLine="0" w:firstLineChars="0"/>
        <w:jc w:val="center"/>
        <w:rPr>
          <w:rFonts w:ascii="Times New Roman"/>
        </w:rPr>
      </w:pPr>
      <w:bookmarkStart w:id="93" w:name="BookMark8"/>
      <w:r>
        <w:rPr>
          <w:rFonts w:ascii="Times New Roman"/>
        </w:rPr>
        <w:drawing>
          <wp:inline distT="0" distB="0" distL="0" distR="0">
            <wp:extent cx="1485900" cy="317500"/>
            <wp:effectExtent l="0" t="0" r="0" b="6350"/>
            <wp:docPr id="816162064" name="图片 1"/>
            <wp:cNvGraphicFramePr/>
            <a:graphic xmlns:a="http://schemas.openxmlformats.org/drawingml/2006/main">
              <a:graphicData uri="http://schemas.openxmlformats.org/drawingml/2006/picture">
                <pic:pic xmlns:pic="http://schemas.openxmlformats.org/drawingml/2006/picture">
                  <pic:nvPicPr>
                    <pic:cNvPr id="816162064"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F9B5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A1E9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EDB0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24D87">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DF0D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4A0D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8FCE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426F2">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6459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701"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hAns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 w:name="KSO_WPS_MARK_KEY" w:val="f5a9258e-5b8d-43db-a1f2-e72b71ab50bc"/>
  </w:docVars>
  <w:rsids>
    <w:rsidRoot w:val="00CB24F2"/>
    <w:rsid w:val="0000040A"/>
    <w:rsid w:val="00000A94"/>
    <w:rsid w:val="00001972"/>
    <w:rsid w:val="00001D9A"/>
    <w:rsid w:val="00004D45"/>
    <w:rsid w:val="00007B3A"/>
    <w:rsid w:val="000107E0"/>
    <w:rsid w:val="00011FDE"/>
    <w:rsid w:val="00012FFD"/>
    <w:rsid w:val="00014161"/>
    <w:rsid w:val="00014162"/>
    <w:rsid w:val="00014340"/>
    <w:rsid w:val="00016A9C"/>
    <w:rsid w:val="00022184"/>
    <w:rsid w:val="00022762"/>
    <w:rsid w:val="00022F96"/>
    <w:rsid w:val="000238E0"/>
    <w:rsid w:val="000249DB"/>
    <w:rsid w:val="000258E7"/>
    <w:rsid w:val="0002595E"/>
    <w:rsid w:val="00027143"/>
    <w:rsid w:val="000303C3"/>
    <w:rsid w:val="000315FB"/>
    <w:rsid w:val="00031FF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5FC"/>
    <w:rsid w:val="0005543A"/>
    <w:rsid w:val="0005558E"/>
    <w:rsid w:val="000556ED"/>
    <w:rsid w:val="00055FE2"/>
    <w:rsid w:val="0005616F"/>
    <w:rsid w:val="00060C2E"/>
    <w:rsid w:val="00061033"/>
    <w:rsid w:val="000611CC"/>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E97"/>
    <w:rsid w:val="000A7311"/>
    <w:rsid w:val="000A7969"/>
    <w:rsid w:val="000B060F"/>
    <w:rsid w:val="000B1592"/>
    <w:rsid w:val="000B1FF2"/>
    <w:rsid w:val="000B3CDA"/>
    <w:rsid w:val="000B6A0B"/>
    <w:rsid w:val="000C0BCB"/>
    <w:rsid w:val="000C0F6C"/>
    <w:rsid w:val="000C11DB"/>
    <w:rsid w:val="000C1492"/>
    <w:rsid w:val="000C176D"/>
    <w:rsid w:val="000C2FBD"/>
    <w:rsid w:val="000C323B"/>
    <w:rsid w:val="000C4B41"/>
    <w:rsid w:val="000C57D6"/>
    <w:rsid w:val="000C6362"/>
    <w:rsid w:val="000C6FA6"/>
    <w:rsid w:val="000C7666"/>
    <w:rsid w:val="000D0A9C"/>
    <w:rsid w:val="000D11F8"/>
    <w:rsid w:val="000D1795"/>
    <w:rsid w:val="000D329A"/>
    <w:rsid w:val="000D4B9C"/>
    <w:rsid w:val="000D4EB6"/>
    <w:rsid w:val="000D753B"/>
    <w:rsid w:val="000E4C9E"/>
    <w:rsid w:val="000E6FD7"/>
    <w:rsid w:val="000F06E1"/>
    <w:rsid w:val="000F0E3C"/>
    <w:rsid w:val="000F1414"/>
    <w:rsid w:val="000F19D5"/>
    <w:rsid w:val="000F4AEA"/>
    <w:rsid w:val="000F633F"/>
    <w:rsid w:val="000F67E9"/>
    <w:rsid w:val="00104926"/>
    <w:rsid w:val="001049E1"/>
    <w:rsid w:val="00107E87"/>
    <w:rsid w:val="00111533"/>
    <w:rsid w:val="00113B1E"/>
    <w:rsid w:val="0011711C"/>
    <w:rsid w:val="0012059C"/>
    <w:rsid w:val="00122547"/>
    <w:rsid w:val="00124635"/>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6F2"/>
    <w:rsid w:val="00153A00"/>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501"/>
    <w:rsid w:val="00190087"/>
    <w:rsid w:val="001913C4"/>
    <w:rsid w:val="0019348F"/>
    <w:rsid w:val="00193A07"/>
    <w:rsid w:val="00194C95"/>
    <w:rsid w:val="00195C34"/>
    <w:rsid w:val="00196EF5"/>
    <w:rsid w:val="0019775D"/>
    <w:rsid w:val="00197910"/>
    <w:rsid w:val="001A1A53"/>
    <w:rsid w:val="001A234A"/>
    <w:rsid w:val="001A3957"/>
    <w:rsid w:val="001A4CF3"/>
    <w:rsid w:val="001A6F2F"/>
    <w:rsid w:val="001B06E8"/>
    <w:rsid w:val="001B1EB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3AC"/>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370"/>
    <w:rsid w:val="002333A7"/>
    <w:rsid w:val="00233D64"/>
    <w:rsid w:val="0023482A"/>
    <w:rsid w:val="002357A8"/>
    <w:rsid w:val="002359CB"/>
    <w:rsid w:val="0024155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2D8"/>
    <w:rsid w:val="00282405"/>
    <w:rsid w:val="00284540"/>
    <w:rsid w:val="00285170"/>
    <w:rsid w:val="00285361"/>
    <w:rsid w:val="00286945"/>
    <w:rsid w:val="00292D60"/>
    <w:rsid w:val="00293B30"/>
    <w:rsid w:val="00294AE5"/>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A8A"/>
    <w:rsid w:val="002A757F"/>
    <w:rsid w:val="002A7F44"/>
    <w:rsid w:val="002B0C40"/>
    <w:rsid w:val="002B1966"/>
    <w:rsid w:val="002B2465"/>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F56"/>
    <w:rsid w:val="002E4D5A"/>
    <w:rsid w:val="002E6326"/>
    <w:rsid w:val="002F30E0"/>
    <w:rsid w:val="002F35E4"/>
    <w:rsid w:val="002F3730"/>
    <w:rsid w:val="002F38E1"/>
    <w:rsid w:val="002F7AF6"/>
    <w:rsid w:val="00300E63"/>
    <w:rsid w:val="00300EC6"/>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7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710"/>
    <w:rsid w:val="00383CE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4C2"/>
    <w:rsid w:val="003A1582"/>
    <w:rsid w:val="003A4077"/>
    <w:rsid w:val="003A4F4B"/>
    <w:rsid w:val="003B09AD"/>
    <w:rsid w:val="003B1F18"/>
    <w:rsid w:val="003B5BF0"/>
    <w:rsid w:val="003B60BF"/>
    <w:rsid w:val="003B6BE3"/>
    <w:rsid w:val="003C010C"/>
    <w:rsid w:val="003C0A6C"/>
    <w:rsid w:val="003C14F8"/>
    <w:rsid w:val="003C3490"/>
    <w:rsid w:val="003C34A6"/>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4E12"/>
    <w:rsid w:val="003F6272"/>
    <w:rsid w:val="003F68E3"/>
    <w:rsid w:val="003F6FE1"/>
    <w:rsid w:val="00400E72"/>
    <w:rsid w:val="00401400"/>
    <w:rsid w:val="004040CF"/>
    <w:rsid w:val="00404869"/>
    <w:rsid w:val="00405884"/>
    <w:rsid w:val="00407D39"/>
    <w:rsid w:val="0041169C"/>
    <w:rsid w:val="00411E33"/>
    <w:rsid w:val="0041477A"/>
    <w:rsid w:val="004167A3"/>
    <w:rsid w:val="004245D9"/>
    <w:rsid w:val="00427503"/>
    <w:rsid w:val="00432DAA"/>
    <w:rsid w:val="00434305"/>
    <w:rsid w:val="00435DF7"/>
    <w:rsid w:val="004372F3"/>
    <w:rsid w:val="0044083F"/>
    <w:rsid w:val="00441AE7"/>
    <w:rsid w:val="00443368"/>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BF8"/>
    <w:rsid w:val="004C1FBC"/>
    <w:rsid w:val="004C3F1D"/>
    <w:rsid w:val="004C458D"/>
    <w:rsid w:val="004C7556"/>
    <w:rsid w:val="004C7E8B"/>
    <w:rsid w:val="004C7E9D"/>
    <w:rsid w:val="004C7F67"/>
    <w:rsid w:val="004D0769"/>
    <w:rsid w:val="004D076D"/>
    <w:rsid w:val="004D0EF1"/>
    <w:rsid w:val="004D2253"/>
    <w:rsid w:val="004D4406"/>
    <w:rsid w:val="004D6537"/>
    <w:rsid w:val="004D7C42"/>
    <w:rsid w:val="004E0465"/>
    <w:rsid w:val="004E0DF6"/>
    <w:rsid w:val="004E127B"/>
    <w:rsid w:val="004E1C0A"/>
    <w:rsid w:val="004E2B06"/>
    <w:rsid w:val="004E30C5"/>
    <w:rsid w:val="004E4AA5"/>
    <w:rsid w:val="004E4AEE"/>
    <w:rsid w:val="004E59E3"/>
    <w:rsid w:val="004E67C0"/>
    <w:rsid w:val="004F2598"/>
    <w:rsid w:val="004F391A"/>
    <w:rsid w:val="004F3CFB"/>
    <w:rsid w:val="004F6456"/>
    <w:rsid w:val="004F696E"/>
    <w:rsid w:val="004F6B31"/>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E56"/>
    <w:rsid w:val="005441CC"/>
    <w:rsid w:val="005448E4"/>
    <w:rsid w:val="005479DA"/>
    <w:rsid w:val="00547BCC"/>
    <w:rsid w:val="0055013B"/>
    <w:rsid w:val="00551F6F"/>
    <w:rsid w:val="00553F6B"/>
    <w:rsid w:val="00555044"/>
    <w:rsid w:val="00561475"/>
    <w:rsid w:val="0056487B"/>
    <w:rsid w:val="00564FB9"/>
    <w:rsid w:val="005658D9"/>
    <w:rsid w:val="005667D3"/>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7AF"/>
    <w:rsid w:val="005D0C75"/>
    <w:rsid w:val="005D4171"/>
    <w:rsid w:val="005D6077"/>
    <w:rsid w:val="005D6A95"/>
    <w:rsid w:val="005D6B2C"/>
    <w:rsid w:val="005D6D9C"/>
    <w:rsid w:val="005E2335"/>
    <w:rsid w:val="005E34CA"/>
    <w:rsid w:val="005E3C18"/>
    <w:rsid w:val="005E6812"/>
    <w:rsid w:val="005E7881"/>
    <w:rsid w:val="005E78E0"/>
    <w:rsid w:val="005F0C85"/>
    <w:rsid w:val="005F0D9C"/>
    <w:rsid w:val="005F284E"/>
    <w:rsid w:val="005F4712"/>
    <w:rsid w:val="005F7FAB"/>
    <w:rsid w:val="00601448"/>
    <w:rsid w:val="006015CE"/>
    <w:rsid w:val="00604784"/>
    <w:rsid w:val="006051D3"/>
    <w:rsid w:val="00606419"/>
    <w:rsid w:val="00607D29"/>
    <w:rsid w:val="006114A3"/>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2C8B"/>
    <w:rsid w:val="00653FED"/>
    <w:rsid w:val="00654EC0"/>
    <w:rsid w:val="0065525B"/>
    <w:rsid w:val="00655D4F"/>
    <w:rsid w:val="00656D29"/>
    <w:rsid w:val="006576E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9BE"/>
    <w:rsid w:val="006850CD"/>
    <w:rsid w:val="00685AAB"/>
    <w:rsid w:val="00695D22"/>
    <w:rsid w:val="006A07AA"/>
    <w:rsid w:val="006A229E"/>
    <w:rsid w:val="006A25E5"/>
    <w:rsid w:val="006A2B46"/>
    <w:rsid w:val="006A336D"/>
    <w:rsid w:val="006A37B9"/>
    <w:rsid w:val="006B212E"/>
    <w:rsid w:val="006B2672"/>
    <w:rsid w:val="006B54BF"/>
    <w:rsid w:val="006B5F44"/>
    <w:rsid w:val="006B5F90"/>
    <w:rsid w:val="006B62E4"/>
    <w:rsid w:val="006C1841"/>
    <w:rsid w:val="006C1BBA"/>
    <w:rsid w:val="006C2079"/>
    <w:rsid w:val="006C5A62"/>
    <w:rsid w:val="006C5B5E"/>
    <w:rsid w:val="006C5D68"/>
    <w:rsid w:val="006C6976"/>
    <w:rsid w:val="006C6DD0"/>
    <w:rsid w:val="006D04EA"/>
    <w:rsid w:val="006D0AB7"/>
    <w:rsid w:val="006D16C4"/>
    <w:rsid w:val="006D32CA"/>
    <w:rsid w:val="006D3E96"/>
    <w:rsid w:val="006D4515"/>
    <w:rsid w:val="006D4BB1"/>
    <w:rsid w:val="006D56C7"/>
    <w:rsid w:val="006D6593"/>
    <w:rsid w:val="006E23EA"/>
    <w:rsid w:val="006F03A8"/>
    <w:rsid w:val="006F2ACA"/>
    <w:rsid w:val="006F2ADC"/>
    <w:rsid w:val="006F2BFE"/>
    <w:rsid w:val="006F31E9"/>
    <w:rsid w:val="006F6284"/>
    <w:rsid w:val="006F757C"/>
    <w:rsid w:val="007002C5"/>
    <w:rsid w:val="00704387"/>
    <w:rsid w:val="00707669"/>
    <w:rsid w:val="00711CBA"/>
    <w:rsid w:val="00711FB5"/>
    <w:rsid w:val="00712A01"/>
    <w:rsid w:val="00714EC2"/>
    <w:rsid w:val="00714F58"/>
    <w:rsid w:val="0072209A"/>
    <w:rsid w:val="00722295"/>
    <w:rsid w:val="00722FBF"/>
    <w:rsid w:val="00722FC2"/>
    <w:rsid w:val="00724879"/>
    <w:rsid w:val="00724E1B"/>
    <w:rsid w:val="00725949"/>
    <w:rsid w:val="00727FA2"/>
    <w:rsid w:val="007311D1"/>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A5B"/>
    <w:rsid w:val="00750D61"/>
    <w:rsid w:val="00750EE1"/>
    <w:rsid w:val="00752B4D"/>
    <w:rsid w:val="00755402"/>
    <w:rsid w:val="00756195"/>
    <w:rsid w:val="00756B26"/>
    <w:rsid w:val="00756EDF"/>
    <w:rsid w:val="007600E3"/>
    <w:rsid w:val="00765C43"/>
    <w:rsid w:val="00765EFB"/>
    <w:rsid w:val="007671CA"/>
    <w:rsid w:val="00767C61"/>
    <w:rsid w:val="0077008A"/>
    <w:rsid w:val="00773C1F"/>
    <w:rsid w:val="00774B95"/>
    <w:rsid w:val="00774DA4"/>
    <w:rsid w:val="0077594E"/>
    <w:rsid w:val="00775F1F"/>
    <w:rsid w:val="00776599"/>
    <w:rsid w:val="0078085D"/>
    <w:rsid w:val="0078114B"/>
    <w:rsid w:val="00781DD2"/>
    <w:rsid w:val="00783ECF"/>
    <w:rsid w:val="0078413A"/>
    <w:rsid w:val="00790993"/>
    <w:rsid w:val="00793280"/>
    <w:rsid w:val="007959E8"/>
    <w:rsid w:val="00795E9C"/>
    <w:rsid w:val="007A0521"/>
    <w:rsid w:val="007A2E12"/>
    <w:rsid w:val="007A3475"/>
    <w:rsid w:val="007A3840"/>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F8E"/>
    <w:rsid w:val="007D6518"/>
    <w:rsid w:val="007D76BD"/>
    <w:rsid w:val="007E0BF1"/>
    <w:rsid w:val="007E0CB0"/>
    <w:rsid w:val="007E2AB3"/>
    <w:rsid w:val="007E66C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564"/>
    <w:rsid w:val="00830621"/>
    <w:rsid w:val="0083348C"/>
    <w:rsid w:val="00833DE7"/>
    <w:rsid w:val="008373D3"/>
    <w:rsid w:val="00840617"/>
    <w:rsid w:val="00840F84"/>
    <w:rsid w:val="00841730"/>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0E02"/>
    <w:rsid w:val="00883F93"/>
    <w:rsid w:val="00884DB3"/>
    <w:rsid w:val="00885A9D"/>
    <w:rsid w:val="008864F6"/>
    <w:rsid w:val="0089049D"/>
    <w:rsid w:val="008928C9"/>
    <w:rsid w:val="008930CB"/>
    <w:rsid w:val="008938DC"/>
    <w:rsid w:val="00893FD1"/>
    <w:rsid w:val="00894836"/>
    <w:rsid w:val="00895172"/>
    <w:rsid w:val="00895680"/>
    <w:rsid w:val="00895EDC"/>
    <w:rsid w:val="00896DFF"/>
    <w:rsid w:val="0089762C"/>
    <w:rsid w:val="008A1893"/>
    <w:rsid w:val="008A3215"/>
    <w:rsid w:val="008A48F7"/>
    <w:rsid w:val="008A57E6"/>
    <w:rsid w:val="008A6F81"/>
    <w:rsid w:val="008A769A"/>
    <w:rsid w:val="008B0C9C"/>
    <w:rsid w:val="008B166D"/>
    <w:rsid w:val="008B17F4"/>
    <w:rsid w:val="008B3615"/>
    <w:rsid w:val="008B4AC4"/>
    <w:rsid w:val="008B50C8"/>
    <w:rsid w:val="008B5281"/>
    <w:rsid w:val="008B53A6"/>
    <w:rsid w:val="008B5AF1"/>
    <w:rsid w:val="008B7E05"/>
    <w:rsid w:val="008C1797"/>
    <w:rsid w:val="008C219C"/>
    <w:rsid w:val="008C3030"/>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86D"/>
    <w:rsid w:val="008F4C29"/>
    <w:rsid w:val="008F70BD"/>
    <w:rsid w:val="008F788F"/>
    <w:rsid w:val="008F7EA2"/>
    <w:rsid w:val="00902722"/>
    <w:rsid w:val="009027BC"/>
    <w:rsid w:val="009062E6"/>
    <w:rsid w:val="009106D2"/>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608"/>
    <w:rsid w:val="00953604"/>
    <w:rsid w:val="0095496B"/>
    <w:rsid w:val="009610DC"/>
    <w:rsid w:val="00961490"/>
    <w:rsid w:val="00962DFD"/>
    <w:rsid w:val="0096381A"/>
    <w:rsid w:val="00963BD6"/>
    <w:rsid w:val="00965E04"/>
    <w:rsid w:val="009662CA"/>
    <w:rsid w:val="009674AD"/>
    <w:rsid w:val="00970CDC"/>
    <w:rsid w:val="00971889"/>
    <w:rsid w:val="00974284"/>
    <w:rsid w:val="00977010"/>
    <w:rsid w:val="00977D02"/>
    <w:rsid w:val="009809BB"/>
    <w:rsid w:val="0098364B"/>
    <w:rsid w:val="009911AF"/>
    <w:rsid w:val="0099178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5BF"/>
    <w:rsid w:val="009C27F1"/>
    <w:rsid w:val="009C3152"/>
    <w:rsid w:val="009C4CFA"/>
    <w:rsid w:val="009C5070"/>
    <w:rsid w:val="009D112C"/>
    <w:rsid w:val="009D47FA"/>
    <w:rsid w:val="009D4C5B"/>
    <w:rsid w:val="009D4CC8"/>
    <w:rsid w:val="009D50D2"/>
    <w:rsid w:val="009D6BCA"/>
    <w:rsid w:val="009E00A9"/>
    <w:rsid w:val="009E0F62"/>
    <w:rsid w:val="009E2955"/>
    <w:rsid w:val="009E4A58"/>
    <w:rsid w:val="009E5A2D"/>
    <w:rsid w:val="009E5AB2"/>
    <w:rsid w:val="009E6219"/>
    <w:rsid w:val="009F03B3"/>
    <w:rsid w:val="009F6B31"/>
    <w:rsid w:val="00A0096C"/>
    <w:rsid w:val="00A01757"/>
    <w:rsid w:val="00A01957"/>
    <w:rsid w:val="00A028C0"/>
    <w:rsid w:val="00A02BAE"/>
    <w:rsid w:val="00A06A6B"/>
    <w:rsid w:val="00A07E47"/>
    <w:rsid w:val="00A1215E"/>
    <w:rsid w:val="00A129D0"/>
    <w:rsid w:val="00A12C33"/>
    <w:rsid w:val="00A138BA"/>
    <w:rsid w:val="00A14C8E"/>
    <w:rsid w:val="00A153D9"/>
    <w:rsid w:val="00A15F09"/>
    <w:rsid w:val="00A169B6"/>
    <w:rsid w:val="00A2201F"/>
    <w:rsid w:val="00A220C7"/>
    <w:rsid w:val="00A2271D"/>
    <w:rsid w:val="00A237D5"/>
    <w:rsid w:val="00A30EFC"/>
    <w:rsid w:val="00A31984"/>
    <w:rsid w:val="00A32D73"/>
    <w:rsid w:val="00A3367B"/>
    <w:rsid w:val="00A3597D"/>
    <w:rsid w:val="00A3623B"/>
    <w:rsid w:val="00A36DD1"/>
    <w:rsid w:val="00A4006C"/>
    <w:rsid w:val="00A40091"/>
    <w:rsid w:val="00A4030F"/>
    <w:rsid w:val="00A41C79"/>
    <w:rsid w:val="00A41CB5"/>
    <w:rsid w:val="00A428C2"/>
    <w:rsid w:val="00A42CDF"/>
    <w:rsid w:val="00A4452E"/>
    <w:rsid w:val="00A4472C"/>
    <w:rsid w:val="00A44E69"/>
    <w:rsid w:val="00A455EF"/>
    <w:rsid w:val="00A458F0"/>
    <w:rsid w:val="00A4661E"/>
    <w:rsid w:val="00A533FB"/>
    <w:rsid w:val="00A55BD6"/>
    <w:rsid w:val="00A55D50"/>
    <w:rsid w:val="00A57142"/>
    <w:rsid w:val="00A648CD"/>
    <w:rsid w:val="00A6537A"/>
    <w:rsid w:val="00A67866"/>
    <w:rsid w:val="00A70B07"/>
    <w:rsid w:val="00A7110C"/>
    <w:rsid w:val="00A723F8"/>
    <w:rsid w:val="00A73131"/>
    <w:rsid w:val="00A77CCB"/>
    <w:rsid w:val="00A83D8D"/>
    <w:rsid w:val="00A8446B"/>
    <w:rsid w:val="00A8473F"/>
    <w:rsid w:val="00A862D6"/>
    <w:rsid w:val="00A8715E"/>
    <w:rsid w:val="00A9295B"/>
    <w:rsid w:val="00A93B09"/>
    <w:rsid w:val="00A94247"/>
    <w:rsid w:val="00A952D7"/>
    <w:rsid w:val="00A95D5A"/>
    <w:rsid w:val="00A963F7"/>
    <w:rsid w:val="00A96AD8"/>
    <w:rsid w:val="00AA052C"/>
    <w:rsid w:val="00AA1820"/>
    <w:rsid w:val="00AA1E45"/>
    <w:rsid w:val="00AA29F4"/>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CCD"/>
    <w:rsid w:val="00AD11B7"/>
    <w:rsid w:val="00AD1A94"/>
    <w:rsid w:val="00AD1C05"/>
    <w:rsid w:val="00AD4126"/>
    <w:rsid w:val="00AD421C"/>
    <w:rsid w:val="00AD4318"/>
    <w:rsid w:val="00AD44FA"/>
    <w:rsid w:val="00AD6A56"/>
    <w:rsid w:val="00AE070A"/>
    <w:rsid w:val="00AE101C"/>
    <w:rsid w:val="00AE37E5"/>
    <w:rsid w:val="00AE5EB4"/>
    <w:rsid w:val="00AF0C18"/>
    <w:rsid w:val="00AF47C5"/>
    <w:rsid w:val="00AF5398"/>
    <w:rsid w:val="00AF7EC3"/>
    <w:rsid w:val="00B03813"/>
    <w:rsid w:val="00B049AF"/>
    <w:rsid w:val="00B06BC9"/>
    <w:rsid w:val="00B07242"/>
    <w:rsid w:val="00B10534"/>
    <w:rsid w:val="00B113DB"/>
    <w:rsid w:val="00B11D8A"/>
    <w:rsid w:val="00B12981"/>
    <w:rsid w:val="00B147DD"/>
    <w:rsid w:val="00B156FD"/>
    <w:rsid w:val="00B21F61"/>
    <w:rsid w:val="00B251AD"/>
    <w:rsid w:val="00B261F1"/>
    <w:rsid w:val="00B265BC"/>
    <w:rsid w:val="00B30629"/>
    <w:rsid w:val="00B31FB1"/>
    <w:rsid w:val="00B33952"/>
    <w:rsid w:val="00B33C5E"/>
    <w:rsid w:val="00B342F4"/>
    <w:rsid w:val="00B34369"/>
    <w:rsid w:val="00B34DC2"/>
    <w:rsid w:val="00B378E5"/>
    <w:rsid w:val="00B4346D"/>
    <w:rsid w:val="00B43F23"/>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C4D"/>
    <w:rsid w:val="00B758BF"/>
    <w:rsid w:val="00B77EC8"/>
    <w:rsid w:val="00B81E75"/>
    <w:rsid w:val="00B827A6"/>
    <w:rsid w:val="00B831CE"/>
    <w:rsid w:val="00B86677"/>
    <w:rsid w:val="00B87131"/>
    <w:rsid w:val="00B939B1"/>
    <w:rsid w:val="00B96D40"/>
    <w:rsid w:val="00B97386"/>
    <w:rsid w:val="00BA263B"/>
    <w:rsid w:val="00BA42B2"/>
    <w:rsid w:val="00BA58D4"/>
    <w:rsid w:val="00BA5B9E"/>
    <w:rsid w:val="00BA6972"/>
    <w:rsid w:val="00BA6F7C"/>
    <w:rsid w:val="00BA7C9A"/>
    <w:rsid w:val="00BB203B"/>
    <w:rsid w:val="00BB5F8F"/>
    <w:rsid w:val="00BB657A"/>
    <w:rsid w:val="00BC1A4E"/>
    <w:rsid w:val="00BC4790"/>
    <w:rsid w:val="00BC5DC7"/>
    <w:rsid w:val="00BC6B8B"/>
    <w:rsid w:val="00BC73D8"/>
    <w:rsid w:val="00BD52D7"/>
    <w:rsid w:val="00BD5AD2"/>
    <w:rsid w:val="00BE22F3"/>
    <w:rsid w:val="00BE5667"/>
    <w:rsid w:val="00BE5B52"/>
    <w:rsid w:val="00BE7823"/>
    <w:rsid w:val="00BE7B8D"/>
    <w:rsid w:val="00BF0993"/>
    <w:rsid w:val="00BF10A9"/>
    <w:rsid w:val="00BF1703"/>
    <w:rsid w:val="00BF231C"/>
    <w:rsid w:val="00BF51E5"/>
    <w:rsid w:val="00BF6E68"/>
    <w:rsid w:val="00BF74A6"/>
    <w:rsid w:val="00C013AD"/>
    <w:rsid w:val="00C04904"/>
    <w:rsid w:val="00C056B3"/>
    <w:rsid w:val="00C103E5"/>
    <w:rsid w:val="00C11FC5"/>
    <w:rsid w:val="00C13319"/>
    <w:rsid w:val="00C13EE9"/>
    <w:rsid w:val="00C21540"/>
    <w:rsid w:val="00C21906"/>
    <w:rsid w:val="00C21BFA"/>
    <w:rsid w:val="00C22148"/>
    <w:rsid w:val="00C24C8D"/>
    <w:rsid w:val="00C25FE2"/>
    <w:rsid w:val="00C26B53"/>
    <w:rsid w:val="00C26C7B"/>
    <w:rsid w:val="00C279B2"/>
    <w:rsid w:val="00C33E50"/>
    <w:rsid w:val="00C34C20"/>
    <w:rsid w:val="00C35A3E"/>
    <w:rsid w:val="00C366A4"/>
    <w:rsid w:val="00C42130"/>
    <w:rsid w:val="00C423A4"/>
    <w:rsid w:val="00C44BF5"/>
    <w:rsid w:val="00C521D6"/>
    <w:rsid w:val="00C55232"/>
    <w:rsid w:val="00C553A4"/>
    <w:rsid w:val="00C55A06"/>
    <w:rsid w:val="00C55D03"/>
    <w:rsid w:val="00C601BC"/>
    <w:rsid w:val="00C6329F"/>
    <w:rsid w:val="00C63340"/>
    <w:rsid w:val="00C643F9"/>
    <w:rsid w:val="00C64E95"/>
    <w:rsid w:val="00C67369"/>
    <w:rsid w:val="00C71372"/>
    <w:rsid w:val="00C72410"/>
    <w:rsid w:val="00C7287F"/>
    <w:rsid w:val="00C77D43"/>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4610"/>
    <w:rsid w:val="00CA662A"/>
    <w:rsid w:val="00CA7AFD"/>
    <w:rsid w:val="00CA7C3C"/>
    <w:rsid w:val="00CB0189"/>
    <w:rsid w:val="00CB0BA2"/>
    <w:rsid w:val="00CB1A42"/>
    <w:rsid w:val="00CB1B0C"/>
    <w:rsid w:val="00CB24F2"/>
    <w:rsid w:val="00CB2C0B"/>
    <w:rsid w:val="00CB2D19"/>
    <w:rsid w:val="00CB517D"/>
    <w:rsid w:val="00CC038D"/>
    <w:rsid w:val="00CC08DB"/>
    <w:rsid w:val="00CC0ACD"/>
    <w:rsid w:val="00CC39FF"/>
    <w:rsid w:val="00CC3C2F"/>
    <w:rsid w:val="00CC430B"/>
    <w:rsid w:val="00CC4AC8"/>
    <w:rsid w:val="00CC5233"/>
    <w:rsid w:val="00CC5DE6"/>
    <w:rsid w:val="00CC6E4E"/>
    <w:rsid w:val="00CC6FE8"/>
    <w:rsid w:val="00CC7202"/>
    <w:rsid w:val="00CD2808"/>
    <w:rsid w:val="00CD28BF"/>
    <w:rsid w:val="00CD4092"/>
    <w:rsid w:val="00CD4A20"/>
    <w:rsid w:val="00CD50A1"/>
    <w:rsid w:val="00CD519E"/>
    <w:rsid w:val="00CD561D"/>
    <w:rsid w:val="00CD7C5A"/>
    <w:rsid w:val="00CE0C4F"/>
    <w:rsid w:val="00CE30EA"/>
    <w:rsid w:val="00CE5282"/>
    <w:rsid w:val="00CF048A"/>
    <w:rsid w:val="00CF155A"/>
    <w:rsid w:val="00CF2947"/>
    <w:rsid w:val="00CF686F"/>
    <w:rsid w:val="00CF6E60"/>
    <w:rsid w:val="00CF7BCA"/>
    <w:rsid w:val="00D008FD"/>
    <w:rsid w:val="00D014F0"/>
    <w:rsid w:val="00D0321C"/>
    <w:rsid w:val="00D035EC"/>
    <w:rsid w:val="00D06AB1"/>
    <w:rsid w:val="00D072ED"/>
    <w:rsid w:val="00D07A16"/>
    <w:rsid w:val="00D1067E"/>
    <w:rsid w:val="00D10F50"/>
    <w:rsid w:val="00D11272"/>
    <w:rsid w:val="00D126F5"/>
    <w:rsid w:val="00D13153"/>
    <w:rsid w:val="00D1489E"/>
    <w:rsid w:val="00D17317"/>
    <w:rsid w:val="00D203F9"/>
    <w:rsid w:val="00D20737"/>
    <w:rsid w:val="00D21E81"/>
    <w:rsid w:val="00D223DE"/>
    <w:rsid w:val="00D25E37"/>
    <w:rsid w:val="00D2661A"/>
    <w:rsid w:val="00D268E1"/>
    <w:rsid w:val="00D27582"/>
    <w:rsid w:val="00D27C6C"/>
    <w:rsid w:val="00D27EC4"/>
    <w:rsid w:val="00D32719"/>
    <w:rsid w:val="00D33333"/>
    <w:rsid w:val="00D33457"/>
    <w:rsid w:val="00D352A2"/>
    <w:rsid w:val="00D3660F"/>
    <w:rsid w:val="00D4162B"/>
    <w:rsid w:val="00D4514F"/>
    <w:rsid w:val="00D451E2"/>
    <w:rsid w:val="00D45E89"/>
    <w:rsid w:val="00D45E8D"/>
    <w:rsid w:val="00D466AE"/>
    <w:rsid w:val="00D4734F"/>
    <w:rsid w:val="00D50608"/>
    <w:rsid w:val="00D51BF3"/>
    <w:rsid w:val="00D602C0"/>
    <w:rsid w:val="00D66733"/>
    <w:rsid w:val="00D66846"/>
    <w:rsid w:val="00D675FB"/>
    <w:rsid w:val="00D71F25"/>
    <w:rsid w:val="00D72A9C"/>
    <w:rsid w:val="00D77031"/>
    <w:rsid w:val="00D77A35"/>
    <w:rsid w:val="00D8180E"/>
    <w:rsid w:val="00D84941"/>
    <w:rsid w:val="00D84FA1"/>
    <w:rsid w:val="00D851F0"/>
    <w:rsid w:val="00D86DB7"/>
    <w:rsid w:val="00D926D0"/>
    <w:rsid w:val="00D93030"/>
    <w:rsid w:val="00D94FF3"/>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3D45"/>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A79"/>
    <w:rsid w:val="00DD6BCC"/>
    <w:rsid w:val="00DE0A4B"/>
    <w:rsid w:val="00DE2410"/>
    <w:rsid w:val="00DE2939"/>
    <w:rsid w:val="00DE4247"/>
    <w:rsid w:val="00DE6E81"/>
    <w:rsid w:val="00DE703F"/>
    <w:rsid w:val="00DE7595"/>
    <w:rsid w:val="00DF1961"/>
    <w:rsid w:val="00DF44DE"/>
    <w:rsid w:val="00DF5F11"/>
    <w:rsid w:val="00E00135"/>
    <w:rsid w:val="00E01138"/>
    <w:rsid w:val="00E02DFB"/>
    <w:rsid w:val="00E0306A"/>
    <w:rsid w:val="00E030F9"/>
    <w:rsid w:val="00E0311A"/>
    <w:rsid w:val="00E03138"/>
    <w:rsid w:val="00E06404"/>
    <w:rsid w:val="00E065D2"/>
    <w:rsid w:val="00E11A85"/>
    <w:rsid w:val="00E12495"/>
    <w:rsid w:val="00E139CD"/>
    <w:rsid w:val="00E15CCD"/>
    <w:rsid w:val="00E202EF"/>
    <w:rsid w:val="00E210B5"/>
    <w:rsid w:val="00E22158"/>
    <w:rsid w:val="00E23462"/>
    <w:rsid w:val="00E23D99"/>
    <w:rsid w:val="00E2552F"/>
    <w:rsid w:val="00E2637B"/>
    <w:rsid w:val="00E3137A"/>
    <w:rsid w:val="00E32842"/>
    <w:rsid w:val="00E32CCF"/>
    <w:rsid w:val="00E34A98"/>
    <w:rsid w:val="00E35D1E"/>
    <w:rsid w:val="00E364F9"/>
    <w:rsid w:val="00E365FA"/>
    <w:rsid w:val="00E36789"/>
    <w:rsid w:val="00E36D4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760"/>
    <w:rsid w:val="00E77A03"/>
    <w:rsid w:val="00E81317"/>
    <w:rsid w:val="00E822E8"/>
    <w:rsid w:val="00E82554"/>
    <w:rsid w:val="00E82606"/>
    <w:rsid w:val="00E846C8"/>
    <w:rsid w:val="00E84957"/>
    <w:rsid w:val="00E84A55"/>
    <w:rsid w:val="00E85BFF"/>
    <w:rsid w:val="00E90391"/>
    <w:rsid w:val="00E906C2"/>
    <w:rsid w:val="00E9311F"/>
    <w:rsid w:val="00E934D1"/>
    <w:rsid w:val="00E948EC"/>
    <w:rsid w:val="00E94AF0"/>
    <w:rsid w:val="00E95D13"/>
    <w:rsid w:val="00E95DD3"/>
    <w:rsid w:val="00E969D5"/>
    <w:rsid w:val="00EA4D4B"/>
    <w:rsid w:val="00EA5368"/>
    <w:rsid w:val="00EA58D1"/>
    <w:rsid w:val="00EA61BC"/>
    <w:rsid w:val="00EA681A"/>
    <w:rsid w:val="00EA735B"/>
    <w:rsid w:val="00EB17DE"/>
    <w:rsid w:val="00EB1E69"/>
    <w:rsid w:val="00EB2086"/>
    <w:rsid w:val="00EB5EDF"/>
    <w:rsid w:val="00EB60FE"/>
    <w:rsid w:val="00EB74DB"/>
    <w:rsid w:val="00EC2D39"/>
    <w:rsid w:val="00EC5359"/>
    <w:rsid w:val="00EC562A"/>
    <w:rsid w:val="00ED067A"/>
    <w:rsid w:val="00ED1BBC"/>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7B1"/>
    <w:rsid w:val="00F157A9"/>
    <w:rsid w:val="00F25BB6"/>
    <w:rsid w:val="00F26B7E"/>
    <w:rsid w:val="00F27A3B"/>
    <w:rsid w:val="00F3054C"/>
    <w:rsid w:val="00F33817"/>
    <w:rsid w:val="00F420D5"/>
    <w:rsid w:val="00F4506B"/>
    <w:rsid w:val="00F451EA"/>
    <w:rsid w:val="00F45447"/>
    <w:rsid w:val="00F454DD"/>
    <w:rsid w:val="00F456C6"/>
    <w:rsid w:val="00F4577B"/>
    <w:rsid w:val="00F46496"/>
    <w:rsid w:val="00F474D0"/>
    <w:rsid w:val="00F50179"/>
    <w:rsid w:val="00F515EE"/>
    <w:rsid w:val="00F56511"/>
    <w:rsid w:val="00F6194E"/>
    <w:rsid w:val="00F623AC"/>
    <w:rsid w:val="00F634A1"/>
    <w:rsid w:val="00F6412A"/>
    <w:rsid w:val="00F65893"/>
    <w:rsid w:val="00F66A4A"/>
    <w:rsid w:val="00F71E22"/>
    <w:rsid w:val="00F71E78"/>
    <w:rsid w:val="00F72142"/>
    <w:rsid w:val="00F72AE7"/>
    <w:rsid w:val="00F81141"/>
    <w:rsid w:val="00F833BA"/>
    <w:rsid w:val="00F84FD0"/>
    <w:rsid w:val="00F859A8"/>
    <w:rsid w:val="00F86D87"/>
    <w:rsid w:val="00F9108B"/>
    <w:rsid w:val="00F91349"/>
    <w:rsid w:val="00F91AEB"/>
    <w:rsid w:val="00F92565"/>
    <w:rsid w:val="00F93A8A"/>
    <w:rsid w:val="00F95248"/>
    <w:rsid w:val="00F956A9"/>
    <w:rsid w:val="00F963ED"/>
    <w:rsid w:val="00F966CF"/>
    <w:rsid w:val="00F96CAE"/>
    <w:rsid w:val="00F97C99"/>
    <w:rsid w:val="00FA13BB"/>
    <w:rsid w:val="00FA4DAC"/>
    <w:rsid w:val="00FA5E53"/>
    <w:rsid w:val="00FA662D"/>
    <w:rsid w:val="00FA73B1"/>
    <w:rsid w:val="00FB0CB9"/>
    <w:rsid w:val="00FB10E1"/>
    <w:rsid w:val="00FB231D"/>
    <w:rsid w:val="00FB2803"/>
    <w:rsid w:val="00FB45F1"/>
    <w:rsid w:val="00FB4A72"/>
    <w:rsid w:val="00FB54E8"/>
    <w:rsid w:val="00FB7054"/>
    <w:rsid w:val="00FB7D1B"/>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067CD3"/>
    <w:rsid w:val="0A8F4C43"/>
    <w:rsid w:val="140430FF"/>
    <w:rsid w:val="230B2E67"/>
    <w:rsid w:val="251F1682"/>
    <w:rsid w:val="2AEC441E"/>
    <w:rsid w:val="2F245B07"/>
    <w:rsid w:val="4F4A1FF2"/>
    <w:rsid w:val="6F3A77F7"/>
    <w:rsid w:val="70C35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pPr>
      <w:ind w:left="1701"/>
    </w:pPr>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1">
    <w:name w:val="修订1"/>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6E9FA4074264FB59917613B426DE562"/>
        <w:style w:val=""/>
        <w:category>
          <w:name w:val="常规"/>
          <w:gallery w:val="placeholder"/>
        </w:category>
        <w:types>
          <w:type w:val="bbPlcHdr"/>
        </w:types>
        <w:behaviors>
          <w:behavior w:val="content"/>
        </w:behaviors>
        <w:description w:val=""/>
        <w:guid w:val="{D59EF835-A66C-4959-B63A-F6D0A68FDB8F}"/>
      </w:docPartPr>
      <w:docPartBody>
        <w:p w14:paraId="04987EBE">
          <w:pPr>
            <w:pStyle w:val="5"/>
          </w:pPr>
          <w:r>
            <w:rPr>
              <w:rStyle w:val="4"/>
              <w:rFonts w:hint="eastAsia"/>
            </w:rPr>
            <w:t>单击或点击此处输入文字。</w:t>
          </w:r>
        </w:p>
      </w:docPartBody>
    </w:docPart>
    <w:docPart>
      <w:docPartPr>
        <w:name w:val="84B23DDB76894B2184AAC5DEEA789D54"/>
        <w:style w:val=""/>
        <w:category>
          <w:name w:val="常规"/>
          <w:gallery w:val="placeholder"/>
        </w:category>
        <w:types>
          <w:type w:val="bbPlcHdr"/>
        </w:types>
        <w:behaviors>
          <w:behavior w:val="content"/>
        </w:behaviors>
        <w:description w:val=""/>
        <w:guid w:val="{A6D408B9-83C4-418C-B126-0FDE217CB767}"/>
      </w:docPartPr>
      <w:docPartBody>
        <w:p w14:paraId="4448A937">
          <w:pPr>
            <w:pStyle w:val="6"/>
          </w:pPr>
          <w:r>
            <w:rPr>
              <w:rStyle w:val="4"/>
              <w:rFonts w:hint="eastAsia"/>
            </w:rPr>
            <w:t>选择一项。</w:t>
          </w:r>
        </w:p>
      </w:docPartBody>
    </w:docPart>
    <w:docPart>
      <w:docPartPr>
        <w:name w:val="5C4AB730027F411E908D6AF126919742"/>
        <w:style w:val=""/>
        <w:category>
          <w:name w:val="常规"/>
          <w:gallery w:val="placeholder"/>
        </w:category>
        <w:types>
          <w:type w:val="bbPlcHdr"/>
        </w:types>
        <w:behaviors>
          <w:behavior w:val="content"/>
        </w:behaviors>
        <w:description w:val=""/>
        <w:guid w:val="{DBBE51F3-2FFA-4EBB-B093-4D23D87324B1}"/>
      </w:docPartPr>
      <w:docPartBody>
        <w:p w14:paraId="2F5DAF5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EB"/>
    <w:rsid w:val="00012691"/>
    <w:rsid w:val="00021578"/>
    <w:rsid w:val="00061235"/>
    <w:rsid w:val="001559D2"/>
    <w:rsid w:val="00205887"/>
    <w:rsid w:val="0024155D"/>
    <w:rsid w:val="00300065"/>
    <w:rsid w:val="00313952"/>
    <w:rsid w:val="00335538"/>
    <w:rsid w:val="003534C7"/>
    <w:rsid w:val="003D4AC1"/>
    <w:rsid w:val="003E2597"/>
    <w:rsid w:val="004002B2"/>
    <w:rsid w:val="00416948"/>
    <w:rsid w:val="004928CF"/>
    <w:rsid w:val="005658D9"/>
    <w:rsid w:val="005C4ADE"/>
    <w:rsid w:val="005F2AA2"/>
    <w:rsid w:val="00662C60"/>
    <w:rsid w:val="00686630"/>
    <w:rsid w:val="006C1A71"/>
    <w:rsid w:val="006C6477"/>
    <w:rsid w:val="007300B3"/>
    <w:rsid w:val="00770D4B"/>
    <w:rsid w:val="00793280"/>
    <w:rsid w:val="007E0966"/>
    <w:rsid w:val="007E66C5"/>
    <w:rsid w:val="00802E22"/>
    <w:rsid w:val="00827564"/>
    <w:rsid w:val="0083591D"/>
    <w:rsid w:val="008D74BD"/>
    <w:rsid w:val="00946608"/>
    <w:rsid w:val="00996956"/>
    <w:rsid w:val="00A256BB"/>
    <w:rsid w:val="00A56AEB"/>
    <w:rsid w:val="00A73131"/>
    <w:rsid w:val="00B91922"/>
    <w:rsid w:val="00BA6972"/>
    <w:rsid w:val="00BB15D7"/>
    <w:rsid w:val="00C25DB7"/>
    <w:rsid w:val="00C665E5"/>
    <w:rsid w:val="00C7284E"/>
    <w:rsid w:val="00DA08D6"/>
    <w:rsid w:val="00DE4247"/>
    <w:rsid w:val="00DF343D"/>
    <w:rsid w:val="00E36D46"/>
    <w:rsid w:val="00E46495"/>
    <w:rsid w:val="00E7661B"/>
    <w:rsid w:val="00EC05B6"/>
    <w:rsid w:val="00EF0D39"/>
    <w:rsid w:val="00F02A6C"/>
    <w:rsid w:val="00FD4D6B"/>
    <w:rsid w:val="00FE6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6E9FA4074264FB59917613B426DE56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4B23DDB76894B2184AAC5DEEA789D5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C4AB730027F411E908D6AF12691974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59015A-B27A-4D68-BE71-0537D0AD4C8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4264</Words>
  <Characters>4626</Characters>
  <Lines>40</Lines>
  <Paragraphs>11</Paragraphs>
  <TotalTime>33</TotalTime>
  <ScaleCrop>false</ScaleCrop>
  <LinksUpToDate>false</LinksUpToDate>
  <CharactersWithSpaces>4743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2024-04-07T15:55:00Z</dcterms:created>
  <dc:creator>yb liu</dc:creator>
  <dc:description>&lt;config cover="true" show_menu="true" version="1.0.0" doctype="SDKXY"&gt;_x000d_
&lt;/config&gt;</dc:description>
  <cp:lastModifiedBy>mmme</cp:lastModifiedBy>
  <cp:lastPrinted>2024-03-26T09:38:00Z</cp:lastPrinted>
  <dcterms:modified xsi:type="dcterms:W3CDTF">2024-07-08T03:11:40Z</dcterms:modified>
  <dc:title>地方标准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7A7A5220E28641A5AB69BCEFA76B2DB1</vt:lpwstr>
  </property>
</Properties>
</file>